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napToGrid/>
        <w:spacing w:line="48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附件1  </w:t>
      </w:r>
    </w:p>
    <w:p>
      <w:pPr>
        <w:keepNext w:val="0"/>
        <w:keepLines w:val="0"/>
        <w:pageBreakBefore w:val="0"/>
        <w:widowControl w:val="0"/>
        <w:kinsoku/>
        <w:wordWrap/>
        <w:overflowPunct/>
        <w:topLinePunct w:val="0"/>
        <w:autoSpaceDE/>
        <w:autoSpaceDN/>
        <w:bidi w:val="0"/>
        <w:adjustRightInd/>
        <w:snapToGrid/>
        <w:spacing w:after="157" w:afterLines="50" w:line="480" w:lineRule="exact"/>
        <w:jc w:val="left"/>
        <w:textAlignment w:val="auto"/>
        <w:rPr>
          <w:rFonts w:hint="default" w:ascii="宋体" w:hAnsi="宋体" w:eastAsia="宋体" w:cs="宋体"/>
          <w:kern w:val="2"/>
          <w:sz w:val="36"/>
          <w:szCs w:val="36"/>
          <w:lang w:val="en-US" w:eastAsia="zh-CN" w:bidi="ar-SA"/>
        </w:rPr>
      </w:pPr>
      <w:r>
        <w:rPr>
          <w:rFonts w:hint="eastAsia" w:ascii="宋体" w:hAnsi="宋体" w:cs="宋体"/>
          <w:b/>
          <w:bCs/>
          <w:kern w:val="2"/>
          <w:sz w:val="28"/>
          <w:szCs w:val="28"/>
          <w:lang w:val="en-US" w:eastAsia="zh-CN"/>
        </w:rPr>
        <w:t>一、</w:t>
      </w:r>
      <w:r>
        <w:rPr>
          <w:rFonts w:hint="eastAsia" w:ascii="宋体" w:hAnsi="宋体" w:cs="宋体"/>
          <w:b/>
          <w:bCs/>
          <w:kern w:val="2"/>
          <w:sz w:val="36"/>
          <w:szCs w:val="36"/>
          <w:lang w:val="en-US" w:eastAsia="zh-CN"/>
        </w:rPr>
        <w:t>信息化</w:t>
      </w:r>
      <w:r>
        <w:rPr>
          <w:rFonts w:hint="eastAsia" w:ascii="宋体" w:hAnsi="宋体" w:cs="宋体"/>
          <w:b/>
          <w:color w:val="000000"/>
          <w:sz w:val="36"/>
          <w:szCs w:val="36"/>
          <w:lang w:eastAsia="zh-CN" w:bidi="ar"/>
        </w:rPr>
        <w:t>项目</w:t>
      </w:r>
      <w:r>
        <w:rPr>
          <w:rFonts w:hint="eastAsia" w:ascii="宋体" w:hAnsi="宋体" w:eastAsia="宋体" w:cs="宋体"/>
          <w:b/>
          <w:color w:val="000000"/>
          <w:sz w:val="36"/>
          <w:szCs w:val="36"/>
          <w:lang w:eastAsia="zh-CN" w:bidi="ar"/>
        </w:rPr>
        <w:t>调研</w:t>
      </w:r>
      <w:r>
        <w:rPr>
          <w:rFonts w:hint="eastAsia" w:ascii="宋体" w:hAnsi="宋体" w:eastAsia="宋体" w:cs="宋体"/>
          <w:b/>
          <w:color w:val="000000"/>
          <w:sz w:val="36"/>
          <w:szCs w:val="36"/>
          <w:lang w:bidi="ar"/>
        </w:rPr>
        <w:t>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4"/>
          </w:tcPr>
          <w:p>
            <w:pPr>
              <w:tabs>
                <w:tab w:val="left" w:pos="3484"/>
              </w:tabs>
              <w:rPr>
                <w:rFonts w:hint="default" w:eastAsia="宋体"/>
                <w:vertAlign w:val="baseline"/>
                <w:lang w:val="en-US" w:eastAsia="zh-CN"/>
              </w:rPr>
            </w:pPr>
            <w:r>
              <w:rPr>
                <w:rFonts w:hint="eastAsia"/>
                <w:vertAlign w:val="baseline"/>
                <w:lang w:eastAsia="zh-CN"/>
              </w:rPr>
              <w:tab/>
            </w:r>
            <w:r>
              <w:rPr>
                <w:rFonts w:hint="eastAsia"/>
                <w:vertAlign w:val="baseline"/>
                <w:lang w:val="en-US" w:eastAsia="zh-CN"/>
              </w:rPr>
              <w:t>调研清单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center"/>
              <w:rPr>
                <w:rFonts w:hint="eastAsia" w:eastAsia="宋体"/>
                <w:vertAlign w:val="baseline"/>
                <w:lang w:val="en-US" w:eastAsia="zh-CN"/>
              </w:rPr>
            </w:pPr>
            <w:r>
              <w:rPr>
                <w:rFonts w:hint="eastAsia"/>
                <w:vertAlign w:val="baseline"/>
                <w:lang w:val="en-US" w:eastAsia="zh-CN"/>
              </w:rPr>
              <w:t>序号</w:t>
            </w:r>
          </w:p>
        </w:tc>
        <w:tc>
          <w:tcPr>
            <w:tcW w:w="2130" w:type="dxa"/>
          </w:tcPr>
          <w:p>
            <w:pPr>
              <w:jc w:val="center"/>
              <w:rPr>
                <w:rFonts w:hint="default" w:eastAsia="宋体"/>
                <w:vertAlign w:val="baseline"/>
                <w:lang w:val="en-US" w:eastAsia="zh-CN"/>
              </w:rPr>
            </w:pPr>
            <w:r>
              <w:rPr>
                <w:rFonts w:hint="eastAsia"/>
                <w:vertAlign w:val="baseline"/>
                <w:lang w:val="en-US" w:eastAsia="zh-CN"/>
              </w:rPr>
              <w:t>项目名称</w:t>
            </w:r>
          </w:p>
        </w:tc>
        <w:tc>
          <w:tcPr>
            <w:tcW w:w="2131" w:type="dxa"/>
          </w:tcPr>
          <w:p>
            <w:pPr>
              <w:jc w:val="center"/>
              <w:rPr>
                <w:rFonts w:hint="eastAsia" w:eastAsia="宋体"/>
                <w:vertAlign w:val="baseline"/>
                <w:lang w:val="en-US" w:eastAsia="zh-CN"/>
              </w:rPr>
            </w:pPr>
            <w:r>
              <w:rPr>
                <w:rFonts w:hint="eastAsia"/>
                <w:vertAlign w:val="baseline"/>
                <w:lang w:val="en-US" w:eastAsia="zh-CN"/>
              </w:rPr>
              <w:t>数量</w:t>
            </w:r>
          </w:p>
        </w:tc>
        <w:tc>
          <w:tcPr>
            <w:tcW w:w="2131" w:type="dxa"/>
          </w:tcPr>
          <w:p>
            <w:pPr>
              <w:jc w:val="center"/>
              <w:rPr>
                <w:rFonts w:hint="default" w:eastAsia="宋体"/>
                <w:vertAlign w:val="baseline"/>
                <w:lang w:val="en-US" w:eastAsia="zh-CN"/>
              </w:rPr>
            </w:pPr>
            <w:r>
              <w:rPr>
                <w:rFonts w:hint="eastAsia"/>
                <w:vertAlign w:val="baseline"/>
                <w:lang w:val="en-US" w:eastAsia="zh-CN"/>
              </w:rPr>
              <w:t>项目预算金额不高于（单位：万元）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center"/>
              <w:rPr>
                <w:rFonts w:hint="eastAsia" w:eastAsia="宋体"/>
                <w:vertAlign w:val="baseline"/>
                <w:lang w:val="en-US" w:eastAsia="zh-CN"/>
              </w:rPr>
            </w:pPr>
            <w:r>
              <w:rPr>
                <w:rFonts w:hint="eastAsia"/>
                <w:vertAlign w:val="baseline"/>
                <w:lang w:val="en-US" w:eastAsia="zh-CN"/>
              </w:rPr>
              <w:t>1</w:t>
            </w:r>
          </w:p>
        </w:tc>
        <w:tc>
          <w:tcPr>
            <w:tcW w:w="2130" w:type="dxa"/>
          </w:tcPr>
          <w:p>
            <w:pPr>
              <w:jc w:val="center"/>
              <w:rPr>
                <w:rFonts w:hint="default" w:eastAsia="宋体"/>
                <w:vertAlign w:val="baseline"/>
                <w:lang w:val="en-US" w:eastAsia="zh-CN"/>
              </w:rPr>
            </w:pPr>
            <w:r>
              <w:rPr>
                <w:rFonts w:hint="eastAsia"/>
                <w:vertAlign w:val="baseline"/>
                <w:lang w:val="en-US" w:eastAsia="zh-CN"/>
              </w:rPr>
              <w:t>三级等保测评</w:t>
            </w:r>
          </w:p>
        </w:tc>
        <w:tc>
          <w:tcPr>
            <w:tcW w:w="2131" w:type="dxa"/>
          </w:tcPr>
          <w:p>
            <w:pPr>
              <w:jc w:val="center"/>
              <w:rPr>
                <w:rFonts w:hint="eastAsia" w:eastAsia="宋体"/>
                <w:vertAlign w:val="baseline"/>
                <w:lang w:val="en-US" w:eastAsia="zh-CN"/>
              </w:rPr>
            </w:pPr>
            <w:r>
              <w:rPr>
                <w:rFonts w:hint="eastAsia"/>
                <w:vertAlign w:val="baseline"/>
                <w:lang w:val="en-US" w:eastAsia="zh-CN"/>
              </w:rPr>
              <w:t>6</w:t>
            </w:r>
          </w:p>
        </w:tc>
        <w:tc>
          <w:tcPr>
            <w:tcW w:w="2131" w:type="dxa"/>
          </w:tcPr>
          <w:p>
            <w:pPr>
              <w:jc w:val="center"/>
              <w:rPr>
                <w:rFonts w:hint="default" w:eastAsia="宋体"/>
                <w:vertAlign w:val="baseline"/>
                <w:lang w:val="en-US" w:eastAsia="zh-CN"/>
              </w:rPr>
            </w:pPr>
            <w:r>
              <w:rPr>
                <w:rFonts w:hint="eastAsia"/>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center"/>
              <w:rPr>
                <w:rFonts w:hint="eastAsia" w:eastAsia="宋体"/>
                <w:vertAlign w:val="baseline"/>
                <w:lang w:val="en-US" w:eastAsia="zh-CN"/>
              </w:rPr>
            </w:pPr>
            <w:r>
              <w:rPr>
                <w:rFonts w:hint="eastAsia"/>
                <w:vertAlign w:val="baseline"/>
                <w:lang w:val="en-US" w:eastAsia="zh-CN"/>
              </w:rPr>
              <w:t>2</w:t>
            </w:r>
          </w:p>
        </w:tc>
        <w:tc>
          <w:tcPr>
            <w:tcW w:w="2130" w:type="dxa"/>
          </w:tcPr>
          <w:p>
            <w:pPr>
              <w:jc w:val="center"/>
              <w:rPr>
                <w:rFonts w:hint="default" w:eastAsia="宋体"/>
                <w:vertAlign w:val="baseline"/>
                <w:lang w:val="en-US" w:eastAsia="zh-CN"/>
              </w:rPr>
            </w:pPr>
            <w:r>
              <w:rPr>
                <w:rFonts w:hint="eastAsia"/>
                <w:vertAlign w:val="baseline"/>
                <w:lang w:val="en-US" w:eastAsia="zh-CN"/>
              </w:rPr>
              <w:t>机房安全运维</w:t>
            </w:r>
          </w:p>
        </w:tc>
        <w:tc>
          <w:tcPr>
            <w:tcW w:w="2131" w:type="dxa"/>
          </w:tcPr>
          <w:p>
            <w:pPr>
              <w:jc w:val="center"/>
              <w:rPr>
                <w:rFonts w:hint="eastAsia" w:eastAsia="宋体"/>
                <w:vertAlign w:val="baseline"/>
                <w:lang w:val="en-US" w:eastAsia="zh-CN"/>
              </w:rPr>
            </w:pPr>
            <w:r>
              <w:rPr>
                <w:rFonts w:hint="eastAsia"/>
                <w:vertAlign w:val="baseline"/>
                <w:lang w:val="en-US" w:eastAsia="zh-CN"/>
              </w:rPr>
              <w:t>1</w:t>
            </w:r>
          </w:p>
        </w:tc>
        <w:tc>
          <w:tcPr>
            <w:tcW w:w="2131" w:type="dxa"/>
          </w:tcPr>
          <w:p>
            <w:pPr>
              <w:jc w:val="center"/>
              <w:rPr>
                <w:rFonts w:hint="default" w:eastAsia="宋体"/>
                <w:vertAlign w:val="baseline"/>
                <w:lang w:val="en-US" w:eastAsia="zh-CN"/>
              </w:rPr>
            </w:pPr>
            <w:r>
              <w:rPr>
                <w:rFonts w:hint="eastAsia"/>
                <w:vertAlign w:val="baseline"/>
                <w:lang w:val="en-US" w:eastAsia="zh-CN"/>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center"/>
              <w:rPr>
                <w:rFonts w:hint="default"/>
                <w:vertAlign w:val="baseline"/>
                <w:lang w:val="en-US" w:eastAsia="zh-CN"/>
              </w:rPr>
            </w:pPr>
            <w:r>
              <w:rPr>
                <w:rFonts w:hint="eastAsia"/>
                <w:vertAlign w:val="baseline"/>
                <w:lang w:val="en-US" w:eastAsia="zh-CN"/>
              </w:rPr>
              <w:t>3</w:t>
            </w:r>
          </w:p>
        </w:tc>
        <w:tc>
          <w:tcPr>
            <w:tcW w:w="2130" w:type="dxa"/>
          </w:tcPr>
          <w:p>
            <w:pPr>
              <w:jc w:val="center"/>
              <w:rPr>
                <w:rFonts w:hint="default"/>
                <w:vertAlign w:val="baseline"/>
                <w:lang w:val="en-US" w:eastAsia="zh-CN"/>
              </w:rPr>
            </w:pPr>
            <w:r>
              <w:rPr>
                <w:rFonts w:hint="eastAsia"/>
                <w:vertAlign w:val="baseline"/>
                <w:lang w:val="en-US" w:eastAsia="zh-CN"/>
              </w:rPr>
              <w:t>前置审方</w:t>
            </w:r>
          </w:p>
        </w:tc>
        <w:tc>
          <w:tcPr>
            <w:tcW w:w="2131" w:type="dxa"/>
          </w:tcPr>
          <w:p>
            <w:pPr>
              <w:jc w:val="center"/>
              <w:rPr>
                <w:rFonts w:hint="default"/>
                <w:vertAlign w:val="baseline"/>
                <w:lang w:val="en-US" w:eastAsia="zh-CN"/>
              </w:rPr>
            </w:pPr>
            <w:r>
              <w:rPr>
                <w:rFonts w:hint="eastAsia"/>
                <w:vertAlign w:val="baseline"/>
                <w:lang w:val="en-US" w:eastAsia="zh-CN"/>
              </w:rPr>
              <w:t>1</w:t>
            </w:r>
          </w:p>
        </w:tc>
        <w:tc>
          <w:tcPr>
            <w:tcW w:w="2131" w:type="dxa"/>
          </w:tcPr>
          <w:p>
            <w:pPr>
              <w:jc w:val="center"/>
              <w:rPr>
                <w:rFonts w:hint="default" w:eastAsia="宋体"/>
                <w:vertAlign w:val="baseline"/>
                <w:lang w:val="en-US" w:eastAsia="zh-CN"/>
              </w:rPr>
            </w:pPr>
            <w:r>
              <w:rPr>
                <w:rFonts w:hint="eastAsia"/>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center"/>
              <w:rPr>
                <w:rFonts w:hint="default"/>
                <w:vertAlign w:val="baseline"/>
                <w:lang w:val="en-US" w:eastAsia="zh-CN"/>
              </w:rPr>
            </w:pPr>
            <w:r>
              <w:rPr>
                <w:rFonts w:hint="eastAsia"/>
                <w:vertAlign w:val="baseline"/>
                <w:lang w:val="en-US" w:eastAsia="zh-CN"/>
              </w:rPr>
              <w:t>4</w:t>
            </w:r>
          </w:p>
        </w:tc>
        <w:tc>
          <w:tcPr>
            <w:tcW w:w="2130" w:type="dxa"/>
          </w:tcPr>
          <w:p>
            <w:pPr>
              <w:jc w:val="center"/>
              <w:rPr>
                <w:rFonts w:hint="default"/>
                <w:vertAlign w:val="baseline"/>
                <w:lang w:val="en-US" w:eastAsia="zh-CN"/>
              </w:rPr>
            </w:pPr>
            <w:r>
              <w:rPr>
                <w:rFonts w:hint="eastAsia"/>
                <w:vertAlign w:val="baseline"/>
                <w:lang w:val="en-US" w:eastAsia="zh-CN"/>
              </w:rPr>
              <w:t>病案数字化系统</w:t>
            </w:r>
          </w:p>
        </w:tc>
        <w:tc>
          <w:tcPr>
            <w:tcW w:w="2131" w:type="dxa"/>
          </w:tcPr>
          <w:p>
            <w:pPr>
              <w:jc w:val="center"/>
              <w:rPr>
                <w:rFonts w:hint="default"/>
                <w:vertAlign w:val="baseline"/>
                <w:lang w:val="en-US" w:eastAsia="zh-CN"/>
              </w:rPr>
            </w:pPr>
            <w:r>
              <w:rPr>
                <w:rFonts w:hint="eastAsia"/>
                <w:vertAlign w:val="baseline"/>
                <w:lang w:val="en-US" w:eastAsia="zh-CN"/>
              </w:rPr>
              <w:t>1</w:t>
            </w:r>
          </w:p>
        </w:tc>
        <w:tc>
          <w:tcPr>
            <w:tcW w:w="2131" w:type="dxa"/>
          </w:tcPr>
          <w:p>
            <w:pPr>
              <w:jc w:val="center"/>
              <w:rPr>
                <w:rFonts w:hint="default" w:eastAsia="宋体"/>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center"/>
              <w:rPr>
                <w:rFonts w:hint="default"/>
                <w:vertAlign w:val="baseline"/>
                <w:lang w:val="en-US" w:eastAsia="zh-CN"/>
              </w:rPr>
            </w:pPr>
            <w:r>
              <w:rPr>
                <w:rFonts w:hint="eastAsia"/>
                <w:vertAlign w:val="baseline"/>
                <w:lang w:val="en-US" w:eastAsia="zh-CN"/>
              </w:rPr>
              <w:t>5</w:t>
            </w:r>
          </w:p>
        </w:tc>
        <w:tc>
          <w:tcPr>
            <w:tcW w:w="2130" w:type="dxa"/>
          </w:tcPr>
          <w:p>
            <w:pPr>
              <w:jc w:val="center"/>
              <w:rPr>
                <w:rFonts w:hint="default"/>
                <w:vertAlign w:val="baseline"/>
                <w:lang w:val="en-US" w:eastAsia="zh-CN"/>
              </w:rPr>
            </w:pPr>
            <w:r>
              <w:rPr>
                <w:rFonts w:hint="eastAsia"/>
                <w:vertAlign w:val="baseline"/>
                <w:lang w:val="en-US" w:eastAsia="zh-CN"/>
              </w:rPr>
              <w:t>单病种管理系统</w:t>
            </w:r>
          </w:p>
        </w:tc>
        <w:tc>
          <w:tcPr>
            <w:tcW w:w="2131" w:type="dxa"/>
          </w:tcPr>
          <w:p>
            <w:pPr>
              <w:jc w:val="center"/>
              <w:rPr>
                <w:rFonts w:hint="default"/>
                <w:vertAlign w:val="baseline"/>
                <w:lang w:val="en-US" w:eastAsia="zh-CN"/>
              </w:rPr>
            </w:pPr>
            <w:r>
              <w:rPr>
                <w:rFonts w:hint="eastAsia"/>
                <w:vertAlign w:val="baseline"/>
                <w:lang w:val="en-US" w:eastAsia="zh-CN"/>
              </w:rPr>
              <w:t>1</w:t>
            </w:r>
          </w:p>
        </w:tc>
        <w:tc>
          <w:tcPr>
            <w:tcW w:w="2131" w:type="dxa"/>
          </w:tcPr>
          <w:p>
            <w:pPr>
              <w:jc w:val="center"/>
              <w:rPr>
                <w:rFonts w:hint="default" w:eastAsia="宋体"/>
                <w:vertAlign w:val="baseline"/>
                <w:lang w:val="en-US" w:eastAsia="zh-CN"/>
              </w:rPr>
            </w:pPr>
            <w:r>
              <w:rPr>
                <w:rFonts w:hint="eastAsia"/>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after="157" w:afterLines="50" w:line="480" w:lineRule="exact"/>
        <w:jc w:val="left"/>
        <w:textAlignment w:val="auto"/>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二、拟购软件（含设备）具体要求</w:t>
      </w:r>
    </w:p>
    <w:p>
      <w:pPr>
        <w:pStyle w:val="9"/>
        <w:numPr>
          <w:numId w:val="0"/>
        </w:num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项目1：三级等保测评</w:t>
      </w:r>
    </w:p>
    <w:p>
      <w:pPr>
        <w:pStyle w:val="7"/>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（一）功能需求</w:t>
      </w:r>
    </w:p>
    <w:p>
      <w:pPr>
        <w:pStyle w:val="7"/>
        <w:keepNext w:val="0"/>
        <w:keepLines w:val="0"/>
        <w:pageBreakBefore w:val="0"/>
        <w:widowControl w:val="0"/>
        <w:kinsoku/>
        <w:wordWrap/>
        <w:overflowPunct/>
        <w:topLinePunct w:val="0"/>
        <w:autoSpaceDE/>
        <w:autoSpaceDN/>
        <w:bidi w:val="0"/>
        <w:adjustRightInd/>
        <w:snapToGrid/>
        <w:spacing w:line="360" w:lineRule="auto"/>
        <w:ind w:left="420" w:firstLine="0" w:firstLine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eastAsiaTheme="minorEastAsia"/>
          <w:kern w:val="2"/>
          <w:sz w:val="24"/>
          <w:szCs w:val="24"/>
          <w:lang w:val="en-US" w:eastAsia="zh-CN" w:bidi="ar-SA"/>
        </w:rPr>
        <w:t>对我院HIS系统、LIS系统、PACS系统、</w:t>
      </w:r>
      <w:r>
        <w:rPr>
          <w:rFonts w:hint="eastAsia" w:ascii="宋体" w:hAnsi="宋体" w:eastAsia="宋体" w:cs="宋体"/>
          <w:i w:val="0"/>
          <w:iCs w:val="0"/>
          <w:color w:val="000000"/>
          <w:kern w:val="0"/>
          <w:sz w:val="24"/>
          <w:szCs w:val="24"/>
          <w:u w:val="none"/>
          <w:lang w:val="en-US" w:eastAsia="zh-CN" w:bidi="ar"/>
        </w:rPr>
        <w:t>基础网络、电子病历 、官方网站6个系统进行信息系统等级保护测评。</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需求方案</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1、测评内容：</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（1）供应商为医院信息系统三级等保提供定级备案、等级测评、系统整改指导、应急响应、安全巡检、漏洞扫描及渗透测试等工作。</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eastAsia="宋体" w:cs="宋体"/>
          <w:i w:val="0"/>
          <w:iCs w:val="0"/>
          <w:color w:val="000000"/>
          <w:kern w:val="0"/>
          <w:sz w:val="24"/>
          <w:szCs w:val="24"/>
          <w:u w:val="none"/>
          <w:lang w:val="en-US" w:eastAsia="zh-CN" w:bidi="ar"/>
        </w:rPr>
        <w:t>协助业主单位进行信息系统的信息安全等级定级和备案工作。</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eastAsia="宋体" w:cs="宋体"/>
          <w:i w:val="0"/>
          <w:iCs w:val="0"/>
          <w:color w:val="000000"/>
          <w:kern w:val="0"/>
          <w:sz w:val="24"/>
          <w:szCs w:val="24"/>
          <w:u w:val="none"/>
          <w:lang w:val="en-US" w:eastAsia="zh-CN" w:bidi="ar"/>
        </w:rPr>
        <w:t>差距测评至少包括：安全技术测评；安全管理测评；形成问题汇总及整改意见报告。依据测评结果，对等级测评结果进行汇总统计；通过对信息系统基本安全保护状态的分析给出初步测评结论。根据测评结果制定《系统等级保护测评问题汇总及整改意见报告》，列出被测信息系统中存在的主要问题以及整改意见。</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eastAsia="宋体" w:cs="宋体"/>
          <w:i w:val="0"/>
          <w:iCs w:val="0"/>
          <w:color w:val="000000"/>
          <w:kern w:val="0"/>
          <w:sz w:val="24"/>
          <w:szCs w:val="24"/>
          <w:u w:val="none"/>
          <w:lang w:val="en-US" w:eastAsia="zh-CN" w:bidi="ar"/>
        </w:rPr>
        <w:t>协助完成整改工作。依据整改方案，为安全整改的各项工作提供技术咨询服务。</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eastAsia="宋体" w:cs="宋体"/>
          <w:i w:val="0"/>
          <w:iCs w:val="0"/>
          <w:color w:val="000000"/>
          <w:kern w:val="0"/>
          <w:sz w:val="24"/>
          <w:szCs w:val="24"/>
          <w:u w:val="none"/>
          <w:lang w:val="en-US" w:eastAsia="zh-CN" w:bidi="ar"/>
        </w:rPr>
        <w:t>等级测评至少包括：按照等级保护相关标准对系统从技术、管理等方面进行安全等级测评工作；编制测评报告，制定并提交《系统信息安全等级测评报告》，报告需提交公安机关有关部门备案，且能满足合规性要求。</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default" w:ascii="宋体" w:hAnsi="宋体" w:eastAsia="宋体" w:cs="宋体"/>
          <w:i w:val="0"/>
          <w:iCs w:val="0"/>
          <w:color w:val="000000"/>
          <w:kern w:val="0"/>
          <w:sz w:val="24"/>
          <w:szCs w:val="24"/>
          <w:u w:val="none"/>
          <w:lang w:val="en-US" w:eastAsia="zh-CN" w:bidi="ar"/>
        </w:rPr>
        <w:t>系统测评指标包含：物理安全测评；网络安全测评；主机安全测评；应用安全测评；数据安全及备份恢复测评；安全管理制度测评；安全管理机构测评；人员安全管理测评；系统建设管理测评；系统运维管理测评。</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default" w:ascii="宋体" w:hAnsi="宋体" w:eastAsia="宋体" w:cs="宋体"/>
          <w:i w:val="0"/>
          <w:iCs w:val="0"/>
          <w:color w:val="000000"/>
          <w:kern w:val="0"/>
          <w:sz w:val="24"/>
          <w:szCs w:val="24"/>
          <w:u w:val="none"/>
          <w:lang w:val="en-US" w:eastAsia="zh-CN" w:bidi="ar"/>
        </w:rPr>
        <w:t>完成项目所需提交的文档清单</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Fonts w:hint="default" w:ascii="宋体" w:hAnsi="宋体" w:eastAsia="宋体" w:cs="宋体"/>
          <w:i w:val="0"/>
          <w:iCs w:val="0"/>
          <w:color w:val="000000"/>
          <w:kern w:val="0"/>
          <w:sz w:val="24"/>
          <w:szCs w:val="24"/>
          <w:u w:val="none"/>
          <w:lang w:val="en-US" w:eastAsia="zh-CN" w:bidi="ar"/>
        </w:rPr>
        <w:t>在本项目完成后，服务方须提供以下文档资料：《信息系统安全问题汇总及整改建议》、《信息系统等保测评报告》及过程资料</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r>
        <w:rPr>
          <w:rFonts w:hint="default" w:ascii="宋体" w:hAnsi="宋体" w:eastAsia="宋体" w:cs="宋体"/>
          <w:i w:val="0"/>
          <w:iCs w:val="0"/>
          <w:color w:val="000000"/>
          <w:kern w:val="0"/>
          <w:sz w:val="24"/>
          <w:szCs w:val="24"/>
          <w:u w:val="none"/>
          <w:lang w:val="en-US" w:eastAsia="zh-CN" w:bidi="ar"/>
        </w:rPr>
        <w:t>提供漏洞扫描以及渗透测试并提供系统中存在的安全隐患和问题以及修复建议。</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2、供应商应依据国家等级保护相关标准开展工作，依据标准包括但不限于以下国家标准：</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（1）《信息安全等级保护管理办法》（公通字[2007]43号）</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（2）《信息安全技术信息系统安全等级保护基本要求》GB/T 22239-2019</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（3）《信息安全技术信息系统安全等级保护定级指南》GB/T 22240-2020</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（4）《信息安全技术信息系统安全等级保护实施指南》GB/T 25058-2019</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（5）《信息安全技术信息安全风险评估规范》GB/T 20984-2007</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（6）《信息安全技术信息系统安全等级保护测评要求》GB/T 28448-2019</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（7）《信息安全技术信息系统安全等级保护测评过程指南》GB/T 28449-2018</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3、供应商开展信息系统安全等级保护测评相关工作必须符合但不限于如下文件的要求：</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（1）《中华人民共和国网络安全法》</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（2）《信息安全等级保护管理办法》（公通字[2007]43号）</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（3）《卫生行业信息安全等级保护工作的指导意见》的通知（卫办发〔2011〕85号）</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（4）《四川省卫生健康行业网络安全等级保护工作实施方案》（川卫函〔2019〕11号）</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4、测评应满足的原则：本次安全保护等级保护测评实施方案设计与具体实施应满足以下原则：</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eastAsia="宋体" w:cs="宋体"/>
          <w:i w:val="0"/>
          <w:iCs w:val="0"/>
          <w:color w:val="000000"/>
          <w:kern w:val="0"/>
          <w:sz w:val="24"/>
          <w:szCs w:val="24"/>
          <w:u w:val="none"/>
          <w:lang w:val="en-US" w:eastAsia="zh-CN" w:bidi="ar"/>
        </w:rPr>
        <w:t>保密原则：对测评的过程数据和结果数据严格保密，未经授权不得泄露给任何单位和个人，不得利用此数据进行任何侵害院方的行为，否则院方有权追究服务提供方的责任。</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eastAsia="宋体" w:cs="宋体"/>
          <w:i w:val="0"/>
          <w:iCs w:val="0"/>
          <w:color w:val="000000"/>
          <w:kern w:val="0"/>
          <w:sz w:val="24"/>
          <w:szCs w:val="24"/>
          <w:u w:val="none"/>
          <w:lang w:val="en-US" w:eastAsia="zh-CN" w:bidi="ar"/>
        </w:rPr>
        <w:t>标准性原则：测评方案的设计与实施应依据国家等级保护的相关标准进行。</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eastAsia="宋体" w:cs="宋体"/>
          <w:i w:val="0"/>
          <w:iCs w:val="0"/>
          <w:color w:val="000000"/>
          <w:kern w:val="0"/>
          <w:sz w:val="24"/>
          <w:szCs w:val="24"/>
          <w:u w:val="none"/>
          <w:lang w:val="en-US" w:eastAsia="zh-CN" w:bidi="ar"/>
        </w:rPr>
        <w:t>规范性原则：供应商工作中的过程和文档，具有很好的规范性，可以便于项目的跟踪和控制。</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eastAsia="宋体" w:cs="宋体"/>
          <w:i w:val="0"/>
          <w:iCs w:val="0"/>
          <w:color w:val="000000"/>
          <w:kern w:val="0"/>
          <w:sz w:val="24"/>
          <w:szCs w:val="24"/>
          <w:u w:val="none"/>
          <w:lang w:val="en-US" w:eastAsia="zh-CN" w:bidi="ar"/>
        </w:rPr>
        <w:t>可控性原则：测评服务的进度要跟上进度表的安排，保证院方对于测评工作的可控性。</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eastAsia="宋体" w:cs="宋体"/>
          <w:i w:val="0"/>
          <w:iCs w:val="0"/>
          <w:color w:val="000000"/>
          <w:kern w:val="0"/>
          <w:sz w:val="24"/>
          <w:szCs w:val="24"/>
          <w:u w:val="none"/>
          <w:lang w:val="en-US" w:eastAsia="zh-CN" w:bidi="ar"/>
        </w:rPr>
        <w:t>整体性原则：测评的范围和内容应当整体全面，包括国家等级保护相关要求涉及的各个层面。</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default" w:ascii="宋体" w:hAnsi="宋体" w:eastAsia="宋体" w:cs="宋体"/>
          <w:i w:val="0"/>
          <w:iCs w:val="0"/>
          <w:color w:val="000000"/>
          <w:kern w:val="0"/>
          <w:sz w:val="24"/>
          <w:szCs w:val="24"/>
          <w:u w:val="none"/>
          <w:lang w:val="en-US" w:eastAsia="zh-CN" w:bidi="ar"/>
        </w:rPr>
        <w:t>最小影响原则：测评工作应尽可能小的影响系统和网络，并在可控范围内；测评工作不能对现有信息系统的正常运行、业务的正常开展产生任何影响。</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供应商应严格依照上述原则和国家等级保护相关标准开展项目实施工作。</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项目2：机房安全运维</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服务清单</w:t>
      </w:r>
    </w:p>
    <w:tbl>
      <w:tblPr>
        <w:tblStyle w:val="11"/>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
        <w:gridCol w:w="1975"/>
        <w:gridCol w:w="452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852"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序号</w:t>
            </w:r>
          </w:p>
        </w:tc>
        <w:tc>
          <w:tcPr>
            <w:tcW w:w="1975"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服务名称</w:t>
            </w:r>
          </w:p>
        </w:tc>
        <w:tc>
          <w:tcPr>
            <w:tcW w:w="4524"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服务内容</w:t>
            </w:r>
          </w:p>
        </w:tc>
        <w:tc>
          <w:tcPr>
            <w:tcW w:w="1547"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852" w:type="dxa"/>
            <w:vMerge w:val="restart"/>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1</w:t>
            </w:r>
          </w:p>
        </w:tc>
        <w:tc>
          <w:tcPr>
            <w:tcW w:w="1975" w:type="dxa"/>
            <w:vMerge w:val="restart"/>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机房安全运维</w:t>
            </w:r>
          </w:p>
        </w:tc>
        <w:tc>
          <w:tcPr>
            <w:tcW w:w="4524"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资产安全管理，硬件设备维护，网络安全培训、安全和风险管控、★ 安全专家服务、周期性安全检查、渗透测试、重保服务、★ 应急响应及调查取证、应急演练、安全预警、网络安全设备续保、安全管理制度现状分析、★ 安全管理体系建设、★ 安全管理体系运行等</w:t>
            </w:r>
          </w:p>
        </w:tc>
        <w:tc>
          <w:tcPr>
            <w:tcW w:w="1547"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852" w:type="dxa"/>
            <w:vMerge w:val="continue"/>
            <w:tcBorders/>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18"/>
                <w:szCs w:val="18"/>
                <w:u w:val="none"/>
                <w:vertAlign w:val="baseline"/>
                <w:lang w:val="en-US" w:eastAsia="zh-CN" w:bidi="ar"/>
              </w:rPr>
            </w:pPr>
          </w:p>
        </w:tc>
        <w:tc>
          <w:tcPr>
            <w:tcW w:w="1975" w:type="dxa"/>
            <w:vMerge w:val="continue"/>
            <w:tcBorders/>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18"/>
                <w:szCs w:val="18"/>
                <w:u w:val="none"/>
                <w:vertAlign w:val="baseline"/>
                <w:lang w:val="en-US" w:eastAsia="zh-CN" w:bidi="ar"/>
              </w:rPr>
            </w:pPr>
          </w:p>
        </w:tc>
        <w:tc>
          <w:tcPr>
            <w:tcW w:w="4524"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院内网络的改造、机房环境设备维护等</w:t>
            </w:r>
          </w:p>
        </w:tc>
        <w:tc>
          <w:tcPr>
            <w:tcW w:w="1547"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852"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2</w:t>
            </w:r>
          </w:p>
        </w:tc>
        <w:tc>
          <w:tcPr>
            <w:tcW w:w="1975"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vertAlign w:val="baseline"/>
                <w:lang w:val="en-US" w:eastAsia="zh-CN" w:bidi="ar"/>
              </w:rPr>
              <w:t>安全设备</w:t>
            </w:r>
            <w:r>
              <w:rPr>
                <w:rFonts w:hint="eastAsia" w:ascii="宋体" w:hAnsi="宋体" w:eastAsia="宋体" w:cs="宋体"/>
                <w:i w:val="0"/>
                <w:iCs w:val="0"/>
                <w:color w:val="000000"/>
                <w:kern w:val="0"/>
                <w:sz w:val="18"/>
                <w:szCs w:val="18"/>
                <w:u w:val="none"/>
                <w:vertAlign w:val="baseline"/>
                <w:lang w:val="en-US" w:eastAsia="zh-CN" w:bidi="ar"/>
              </w:rPr>
              <w:t>服务</w:t>
            </w:r>
          </w:p>
        </w:tc>
        <w:tc>
          <w:tcPr>
            <w:tcW w:w="4524"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vertAlign w:val="baseline"/>
                <w:lang w:val="en-US" w:eastAsia="zh-CN" w:bidi="ar"/>
              </w:rPr>
              <w:t>一套内外网隔离网闸系统</w:t>
            </w:r>
          </w:p>
        </w:tc>
        <w:tc>
          <w:tcPr>
            <w:tcW w:w="1547"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852"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3</w:t>
            </w:r>
          </w:p>
        </w:tc>
        <w:tc>
          <w:tcPr>
            <w:tcW w:w="1975"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vertAlign w:val="baseline"/>
                <w:lang w:val="en-US" w:eastAsia="zh-CN" w:bidi="ar"/>
              </w:rPr>
              <w:t>终端病毒防护服务</w:t>
            </w:r>
          </w:p>
        </w:tc>
        <w:tc>
          <w:tcPr>
            <w:tcW w:w="4524"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vertAlign w:val="baseline"/>
                <w:lang w:val="en-US" w:eastAsia="zh-CN" w:bidi="ar"/>
              </w:rPr>
              <w:t>对医院电脑终端进行安全管控，采取防入侵、防病毒服务，保障电脑终端的安全。</w:t>
            </w:r>
          </w:p>
        </w:tc>
        <w:tc>
          <w:tcPr>
            <w:tcW w:w="1547"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600个点位，防病毒软件国产化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852"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4</w:t>
            </w:r>
          </w:p>
        </w:tc>
        <w:tc>
          <w:tcPr>
            <w:tcW w:w="1975"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vertAlign w:val="baseline"/>
                <w:lang w:val="en-US" w:eastAsia="zh-CN" w:bidi="ar"/>
              </w:rPr>
              <w:t>存储备份系统扩容服务</w:t>
            </w:r>
          </w:p>
        </w:tc>
        <w:tc>
          <w:tcPr>
            <w:tcW w:w="4524"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vertAlign w:val="baseline"/>
                <w:lang w:val="en-US" w:eastAsia="zh-CN" w:bidi="ar"/>
              </w:rPr>
              <w:t>对现有数据存储系统进行升级扩容服务，满足数据存储需求，服务期间对存储系统、存储空间进行维护和管理。</w:t>
            </w:r>
          </w:p>
        </w:tc>
        <w:tc>
          <w:tcPr>
            <w:tcW w:w="1547" w:type="dxa"/>
            <w:vAlign w:val="center"/>
          </w:tcPr>
          <w:p>
            <w:pPr>
              <w:pStyle w:val="7"/>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olor w:val="000000"/>
                <w:kern w:val="0"/>
                <w:sz w:val="18"/>
                <w:szCs w:val="18"/>
                <w:u w:val="none"/>
                <w:vertAlign w:val="baseline"/>
                <w:lang w:val="en-US" w:eastAsia="zh-CN" w:bidi="ar"/>
              </w:rPr>
            </w:pPr>
            <w:r>
              <w:rPr>
                <w:rFonts w:hint="eastAsia" w:ascii="宋体" w:hAnsi="宋体" w:eastAsia="宋体" w:cs="宋体"/>
                <w:i w:val="0"/>
                <w:iCs w:val="0"/>
                <w:color w:val="000000"/>
                <w:kern w:val="0"/>
                <w:sz w:val="18"/>
                <w:szCs w:val="18"/>
                <w:u w:val="none"/>
                <w:vertAlign w:val="baseline"/>
                <w:lang w:val="en-US" w:eastAsia="zh-CN" w:bidi="ar"/>
              </w:rPr>
              <w:t>预计扩容空间为50T</w:t>
            </w:r>
          </w:p>
        </w:tc>
      </w:tr>
    </w:tbl>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服务期限：1年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项目3：前置审方</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基本功能</w:t>
      </w:r>
    </w:p>
    <w:p>
      <w:pPr>
        <w:pageBreakBefore w:val="0"/>
        <w:kinsoku/>
        <w:wordWrap/>
        <w:overflowPunct/>
        <w:topLinePunct w:val="0"/>
        <w:bidi w:val="0"/>
        <w:snapToGrid/>
        <w:spacing w:line="520" w:lineRule="exact"/>
        <w:ind w:firstLine="420"/>
        <w:textAlignment w:val="auto"/>
        <w:rPr>
          <w:rFonts w:hint="eastAsia" w:ascii="宋体" w:hAnsi="宋体" w:cs="宋体"/>
          <w:b/>
          <w:bCs/>
          <w:kern w:val="2"/>
          <w:sz w:val="24"/>
          <w:szCs w:val="28"/>
          <w:lang w:val="en-US" w:eastAsia="zh-CN" w:bidi="ar-SA"/>
        </w:rPr>
      </w:pPr>
      <w:r>
        <w:rPr>
          <w:rFonts w:hint="eastAsia" w:ascii="宋体" w:hAnsi="宋体" w:cs="宋体"/>
          <w:sz w:val="24"/>
          <w:szCs w:val="28"/>
        </w:rPr>
        <w:t>功能</w:t>
      </w:r>
      <w:r>
        <w:rPr>
          <w:rFonts w:hint="eastAsia" w:ascii="宋体" w:hAnsi="宋体" w:cs="宋体"/>
          <w:sz w:val="24"/>
          <w:szCs w:val="28"/>
          <w:lang w:eastAsia="zh-CN"/>
        </w:rPr>
        <w:t>需求包括</w:t>
      </w:r>
      <w:r>
        <w:rPr>
          <w:rFonts w:hint="eastAsia" w:ascii="宋体" w:hAnsi="宋体" w:cs="宋体"/>
          <w:sz w:val="24"/>
          <w:szCs w:val="28"/>
          <w:lang w:val="en-US" w:eastAsia="zh-CN"/>
        </w:rPr>
        <w:t>四</w:t>
      </w:r>
      <w:r>
        <w:rPr>
          <w:rFonts w:hint="eastAsia" w:ascii="宋体" w:hAnsi="宋体" w:cs="宋体"/>
          <w:sz w:val="24"/>
          <w:szCs w:val="28"/>
        </w:rPr>
        <w:t>大应用模块：临床监控、前置审方</w:t>
      </w:r>
      <w:r>
        <w:rPr>
          <w:rFonts w:hint="eastAsia" w:ascii="宋体" w:hAnsi="宋体" w:cs="宋体"/>
          <w:sz w:val="24"/>
          <w:szCs w:val="28"/>
          <w:lang w:eastAsia="zh-CN"/>
        </w:rPr>
        <w:t>、</w:t>
      </w:r>
      <w:r>
        <w:rPr>
          <w:rFonts w:hint="eastAsia" w:ascii="宋体" w:hAnsi="宋体" w:cs="宋体"/>
          <w:sz w:val="24"/>
          <w:szCs w:val="28"/>
        </w:rPr>
        <w:t>用药</w:t>
      </w:r>
      <w:r>
        <w:rPr>
          <w:rFonts w:hint="eastAsia" w:ascii="宋体" w:hAnsi="宋体" w:cs="宋体"/>
          <w:sz w:val="24"/>
          <w:szCs w:val="28"/>
          <w:lang w:eastAsia="zh-CN"/>
        </w:rPr>
        <w:t>监控与指导、用药</w:t>
      </w:r>
      <w:r>
        <w:rPr>
          <w:rFonts w:hint="eastAsia" w:ascii="宋体" w:hAnsi="宋体" w:cs="宋体"/>
          <w:sz w:val="24"/>
          <w:szCs w:val="28"/>
        </w:rPr>
        <w:t>报表分析及知识</w:t>
      </w:r>
      <w:r>
        <w:rPr>
          <w:rFonts w:hint="eastAsia" w:ascii="宋体" w:hAnsi="宋体" w:cs="宋体"/>
          <w:sz w:val="24"/>
          <w:szCs w:val="28"/>
          <w:lang w:eastAsia="zh-CN"/>
        </w:rPr>
        <w:t>库</w:t>
      </w:r>
      <w:r>
        <w:rPr>
          <w:rFonts w:hint="eastAsia" w:ascii="宋体" w:hAnsi="宋体" w:cs="宋体"/>
          <w:sz w:val="24"/>
          <w:szCs w:val="28"/>
        </w:rPr>
        <w:t>查询</w:t>
      </w:r>
      <w:r>
        <w:rPr>
          <w:rFonts w:hint="eastAsia" w:ascii="宋体" w:hAnsi="宋体" w:cs="宋体"/>
          <w:sz w:val="24"/>
          <w:szCs w:val="28"/>
          <w:lang w:eastAsia="zh-CN"/>
        </w:rPr>
        <w:t>等。</w:t>
      </w:r>
    </w:p>
    <w:p>
      <w:pPr>
        <w:pageBreakBefore w:val="0"/>
        <w:kinsoku/>
        <w:wordWrap/>
        <w:overflowPunct/>
        <w:topLinePunct w:val="0"/>
        <w:bidi w:val="0"/>
        <w:snapToGrid/>
        <w:spacing w:line="520" w:lineRule="exact"/>
        <w:ind w:firstLine="482" w:firstLineChars="200"/>
        <w:jc w:val="left"/>
        <w:textAlignment w:val="auto"/>
        <w:rPr>
          <w:rFonts w:ascii="宋体" w:hAnsi="宋体" w:cs="宋体"/>
          <w:sz w:val="24"/>
          <w:szCs w:val="24"/>
        </w:rPr>
      </w:pPr>
      <w:r>
        <w:rPr>
          <w:rFonts w:hint="eastAsia" w:ascii="宋体" w:hAnsi="宋体" w:cs="宋体"/>
          <w:b/>
          <w:bCs/>
          <w:kern w:val="2"/>
          <w:sz w:val="24"/>
          <w:szCs w:val="28"/>
          <w:lang w:val="en-US" w:eastAsia="zh-CN" w:bidi="ar-SA"/>
        </w:rPr>
        <w:t>1、</w:t>
      </w:r>
      <w:r>
        <w:rPr>
          <w:rFonts w:hint="eastAsia" w:ascii="宋体" w:hAnsi="宋体" w:cs="宋体"/>
          <w:b/>
          <w:bCs/>
          <w:sz w:val="24"/>
          <w:szCs w:val="24"/>
        </w:rPr>
        <w:t>临床监控中心</w:t>
      </w:r>
    </w:p>
    <w:p>
      <w:pPr>
        <w:pageBreakBefore w:val="0"/>
        <w:kinsoku/>
        <w:wordWrap/>
        <w:overflowPunct/>
        <w:topLinePunct w:val="0"/>
        <w:bidi w:val="0"/>
        <w:snapToGrid/>
        <w:spacing w:line="520" w:lineRule="exact"/>
        <w:ind w:firstLine="463" w:firstLineChars="193"/>
        <w:textAlignment w:val="auto"/>
        <w:rPr>
          <w:rFonts w:ascii="宋体" w:hAnsi="宋体" w:cs="宋体"/>
          <w:color w:val="000000"/>
          <w:sz w:val="24"/>
        </w:rPr>
      </w:pPr>
      <w:r>
        <w:rPr>
          <w:rFonts w:hint="eastAsia" w:ascii="宋体" w:hAnsi="宋体" w:cs="宋体"/>
          <w:color w:val="000000"/>
          <w:sz w:val="24"/>
        </w:rPr>
        <w:t>当临床医生为患者开具处方/医嘱时，由系统以用药防火墙的形式对医生的各类违规用药行为进行干预的功能模块。产品功能主要在医生工作站实现，并提供给医生使用。</w:t>
      </w:r>
    </w:p>
    <w:p>
      <w:pPr>
        <w:pageBreakBefore w:val="0"/>
        <w:kinsoku/>
        <w:wordWrap/>
        <w:overflowPunct/>
        <w:topLinePunct w:val="0"/>
        <w:bidi w:val="0"/>
        <w:snapToGrid/>
        <w:spacing w:line="520" w:lineRule="exact"/>
        <w:textAlignment w:val="auto"/>
        <w:rPr>
          <w:rFonts w:hint="default" w:ascii="宋体" w:hAnsi="宋体" w:eastAsia="宋体" w:cs="宋体"/>
          <w:b/>
          <w:bCs/>
          <w:kern w:val="2"/>
          <w:sz w:val="24"/>
          <w:szCs w:val="28"/>
          <w:lang w:val="en-US" w:eastAsia="zh-CN" w:bidi="ar-SA"/>
        </w:rPr>
      </w:pPr>
      <w:r>
        <w:rPr>
          <w:rFonts w:hint="eastAsia" w:ascii="宋体" w:hAnsi="宋体" w:cs="宋体"/>
          <w:color w:val="000000"/>
          <w:sz w:val="24"/>
        </w:rPr>
        <w:t xml:space="preserve">    防火墙监控分为两大类，第一类是基于专业药学知识及临床用药专业文献之要求由系统内置的标准化合理用药监控（如：用药剂量监控、给药途径监控），第二类是医院根据自身管理需求而自行配置的自定义监控规则。各个监控功能及其后台合理用药知识库均以国家政策法规及临床用药相关规范文件及专业文献为依据，结合医院自身的管理制度，通过配置各类监控规则，对临床医生进行实时的事前监控和预警，达到事前干预的效果。</w:t>
      </w:r>
    </w:p>
    <w:p>
      <w:pPr>
        <w:pageBreakBefore w:val="0"/>
        <w:kinsoku/>
        <w:wordWrap/>
        <w:overflowPunct/>
        <w:topLinePunct w:val="0"/>
        <w:bidi w:val="0"/>
        <w:snapToGrid/>
        <w:spacing w:line="520" w:lineRule="exact"/>
        <w:ind w:firstLine="465" w:firstLineChars="193"/>
        <w:textAlignment w:val="auto"/>
        <w:rPr>
          <w:rFonts w:hint="eastAsia" w:ascii="宋体" w:hAnsi="宋体" w:eastAsia="宋体" w:cs="宋体"/>
          <w:color w:val="000000"/>
          <w:sz w:val="24"/>
          <w:lang w:val="en-US" w:eastAsia="zh-CN"/>
        </w:rPr>
      </w:pPr>
      <w:r>
        <w:rPr>
          <w:rFonts w:hint="eastAsia" w:ascii="宋体" w:hAnsi="宋体" w:cs="宋体"/>
          <w:b/>
          <w:bCs/>
          <w:kern w:val="2"/>
          <w:sz w:val="24"/>
          <w:szCs w:val="28"/>
          <w:lang w:val="en-US" w:eastAsia="zh-CN" w:bidi="ar-SA"/>
        </w:rPr>
        <w:t>2</w:t>
      </w:r>
      <w:r>
        <w:rPr>
          <w:rFonts w:hint="eastAsia" w:ascii="宋体" w:hAnsi="宋体" w:eastAsia="宋体" w:cs="宋体"/>
          <w:b/>
          <w:bCs/>
          <w:kern w:val="2"/>
          <w:sz w:val="24"/>
          <w:szCs w:val="28"/>
          <w:lang w:val="en-US" w:eastAsia="zh-CN" w:bidi="ar-SA"/>
        </w:rPr>
        <w:t>、前</w:t>
      </w:r>
      <w:r>
        <w:rPr>
          <w:rFonts w:hint="eastAsia" w:ascii="宋体" w:hAnsi="宋体" w:eastAsia="宋体" w:cs="宋体"/>
          <w:b/>
          <w:bCs/>
          <w:kern w:val="2"/>
          <w:sz w:val="24"/>
          <w:szCs w:val="28"/>
          <w:lang w:val="en-US" w:eastAsia="zh-CN" w:bidi="ar-SA"/>
        </w:rPr>
        <w:t>置审方中心</w:t>
      </w:r>
    </w:p>
    <w:p>
      <w:pPr>
        <w:pageBreakBefore w:val="0"/>
        <w:kinsoku/>
        <w:wordWrap/>
        <w:overflowPunct/>
        <w:topLinePunct w:val="0"/>
        <w:bidi w:val="0"/>
        <w:snapToGrid/>
        <w:spacing w:line="520" w:lineRule="exact"/>
        <w:ind w:firstLine="463" w:firstLineChars="193"/>
        <w:textAlignment w:val="auto"/>
        <w:rPr>
          <w:rFonts w:hint="eastAsia" w:ascii="宋体" w:hAnsi="宋体" w:cs="宋体"/>
          <w:color w:val="000000"/>
          <w:sz w:val="24"/>
          <w:lang w:eastAsia="zh-CN"/>
        </w:rPr>
      </w:pPr>
      <w:r>
        <w:rPr>
          <w:rFonts w:hint="eastAsia" w:ascii="宋体" w:hAnsi="宋体" w:cs="宋体"/>
          <w:color w:val="000000"/>
          <w:sz w:val="24"/>
        </w:rPr>
        <w:t>药学部门可以对全部门诊及住院的医嘱中待发放的药品进行前置审方，只有审方通过的处方医嘱才能执行。系统支持多种审方配置策略</w:t>
      </w:r>
      <w:r>
        <w:rPr>
          <w:rFonts w:hint="eastAsia" w:ascii="宋体" w:hAnsi="宋体" w:cs="宋体"/>
          <w:color w:val="000000"/>
          <w:sz w:val="24"/>
          <w:lang w:eastAsia="zh-CN"/>
        </w:rPr>
        <w:t>、根据</w:t>
      </w:r>
      <w:r>
        <w:rPr>
          <w:rFonts w:hint="eastAsia" w:ascii="宋体" w:hAnsi="宋体" w:cs="宋体"/>
          <w:color w:val="000000"/>
          <w:sz w:val="24"/>
        </w:rPr>
        <w:t>不同的情况，系统提供灵活多变的审方模式供医院差异化的进行审方</w:t>
      </w:r>
      <w:r>
        <w:rPr>
          <w:rFonts w:hint="eastAsia" w:ascii="宋体" w:hAnsi="宋体" w:cs="宋体"/>
          <w:color w:val="000000"/>
          <w:sz w:val="24"/>
          <w:lang w:eastAsia="zh-CN"/>
        </w:rPr>
        <w:t>，</w:t>
      </w:r>
      <w:r>
        <w:rPr>
          <w:rFonts w:hint="eastAsia" w:ascii="宋体" w:hAnsi="宋体" w:cs="宋体"/>
          <w:color w:val="000000"/>
          <w:sz w:val="24"/>
        </w:rPr>
        <w:t>根据医院具体情况，系统提供常规审方等待模式以及专科住院医嘱非等待模式供医院选择支持回顾性审方</w:t>
      </w:r>
      <w:r>
        <w:rPr>
          <w:rFonts w:hint="eastAsia" w:ascii="宋体" w:hAnsi="宋体" w:cs="宋体"/>
          <w:color w:val="000000"/>
          <w:sz w:val="24"/>
          <w:lang w:eastAsia="zh-CN"/>
        </w:rPr>
        <w:t>、</w:t>
      </w:r>
      <w:r>
        <w:rPr>
          <w:rFonts w:hint="eastAsia" w:ascii="宋体" w:hAnsi="宋体" w:cs="宋体"/>
          <w:color w:val="000000"/>
          <w:sz w:val="24"/>
        </w:rPr>
        <w:t>药房超时漏审拦截</w:t>
      </w:r>
      <w:r>
        <w:rPr>
          <w:rFonts w:hint="eastAsia" w:ascii="宋体" w:hAnsi="宋体" w:cs="宋体"/>
          <w:color w:val="000000"/>
          <w:sz w:val="24"/>
          <w:lang w:eastAsia="zh-CN"/>
        </w:rPr>
        <w:t>、</w:t>
      </w:r>
      <w:r>
        <w:rPr>
          <w:rFonts w:hint="eastAsia" w:ascii="宋体" w:hAnsi="宋体" w:cs="宋体"/>
          <w:color w:val="000000"/>
          <w:sz w:val="24"/>
        </w:rPr>
        <w:t>待审医嘱特殊标记</w:t>
      </w:r>
      <w:r>
        <w:rPr>
          <w:rFonts w:hint="eastAsia" w:ascii="宋体" w:hAnsi="宋体" w:cs="宋体"/>
          <w:color w:val="000000"/>
          <w:sz w:val="24"/>
          <w:lang w:eastAsia="zh-CN"/>
        </w:rPr>
        <w:t>、</w:t>
      </w:r>
      <w:r>
        <w:rPr>
          <w:rFonts w:hint="eastAsia" w:ascii="宋体" w:hAnsi="宋体" w:cs="宋体"/>
          <w:color w:val="000000"/>
          <w:sz w:val="24"/>
        </w:rPr>
        <w:t>审方意见及沟通争议处方双签处理</w:t>
      </w:r>
      <w:r>
        <w:rPr>
          <w:rFonts w:hint="eastAsia" w:ascii="宋体" w:hAnsi="宋体" w:cs="宋体"/>
          <w:color w:val="000000"/>
          <w:sz w:val="24"/>
          <w:lang w:eastAsia="zh-CN"/>
        </w:rPr>
        <w:t>、</w:t>
      </w:r>
      <w:r>
        <w:rPr>
          <w:rFonts w:hint="eastAsia" w:ascii="宋体" w:hAnsi="宋体" w:cs="宋体"/>
          <w:color w:val="000000"/>
          <w:sz w:val="24"/>
        </w:rPr>
        <w:t>审方工作量统计</w:t>
      </w:r>
      <w:r>
        <w:rPr>
          <w:rFonts w:hint="eastAsia" w:ascii="宋体" w:hAnsi="宋体" w:cs="宋体"/>
          <w:color w:val="000000"/>
          <w:sz w:val="24"/>
          <w:lang w:eastAsia="zh-CN"/>
        </w:rPr>
        <w:t>等多种功能。</w:t>
      </w:r>
      <w:bookmarkStart w:id="3" w:name="_GoBack"/>
      <w:bookmarkEnd w:id="3"/>
      <w:bookmarkStart w:id="0" w:name="_Toc11058238"/>
      <w:bookmarkStart w:id="1" w:name="_Toc8304449"/>
      <w:bookmarkStart w:id="2" w:name="_Toc28152"/>
    </w:p>
    <w:bookmarkEnd w:id="0"/>
    <w:bookmarkEnd w:id="1"/>
    <w:bookmarkEnd w:id="2"/>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kern w:val="2"/>
          <w:sz w:val="24"/>
          <w:szCs w:val="28"/>
          <w:lang w:val="en-US" w:eastAsia="zh-CN" w:bidi="ar-SA"/>
        </w:rPr>
      </w:pPr>
      <w:r>
        <w:rPr>
          <w:rFonts w:hint="eastAsia" w:ascii="宋体" w:hAnsi="宋体" w:eastAsia="宋体" w:cs="宋体"/>
          <w:b/>
          <w:bCs/>
          <w:kern w:val="2"/>
          <w:sz w:val="24"/>
          <w:szCs w:val="28"/>
          <w:lang w:val="en-US" w:eastAsia="zh-CN" w:bidi="ar-SA"/>
        </w:rPr>
        <w:t>3、用药监控与指导</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color w:val="000000"/>
          <w:kern w:val="2"/>
          <w:sz w:val="24"/>
          <w:szCs w:val="22"/>
          <w:lang w:val="en-US" w:eastAsia="zh-CN" w:bidi="ar-SA"/>
        </w:rPr>
      </w:pPr>
      <w:r>
        <w:rPr>
          <w:rFonts w:hint="default" w:ascii="宋体" w:hAnsi="宋体" w:eastAsia="宋体" w:cs="宋体"/>
          <w:color w:val="000000"/>
          <w:kern w:val="2"/>
          <w:sz w:val="24"/>
          <w:szCs w:val="22"/>
          <w:lang w:val="en-US" w:eastAsia="zh-CN" w:bidi="ar-SA"/>
        </w:rPr>
        <w:t>通过电子药历系统的汇总、分析、整理、归纳，可以为患者个体化药物治疗提供重要依据，是保障合理用药和开展药学服务的必备资料。药师通过电子药历了解患者基本信息，检查检验信息，药物治疗信息，病史等，可以发现患者禁忌或不适合使用的药物。根据患者出院带药，自动应用医嘱数据生成用药指导单。也可以选择有效的药物，生成用药指导单。提供用药教育基本内容的知识库模板，也可以自定义编辑每个药物/病种的用药指导的内容。</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其他要求</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所提供软件须完全兼容采购人现有的软硬件应用环境，支持与采购人现有的第三方信息系统，包括但不限于医院信息管理系统等。</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hanging="420" w:firstLineChars="0"/>
        <w:textAlignment w:val="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所提供软件需要具备高度的可维护性和可管理性，提供包括但不限于模块化设计、统一的接口规范、系统监控、日志记录、性能分析等，方便管理员对系统的维护及监控、管理。</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hanging="420" w:firstLineChars="0"/>
        <w:textAlignment w:val="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须同时支持Windows平台和国产化平台，后期免费进行国产化适配改造。</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项目4：病案数字化系统</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基本功能</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现病案的电子化归档管理。将其采集到的所有病历文书统计存储在病案无纸化系统中，支持在归档过程中对病历文书进行自动更新和替换，可支持来自系统外部病案和历史纸档病案，可通过高拍仪、扫描+签章等方式进行收集归档等功能。</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支持病案审核、扫描、扫拍、补拍、录入、补录、归档、删除、保存、下载、查询、浏览、抽查、脱敏、打印、上架、借阅、归还、报表、统计等相关病案业务的全流程和全过程管理功能。</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支持再次归档、病案借阅、病案打印、病案封存、纸质文书管理、系统建设硬件支撑。</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支持同一患者生成唯一患者病案号，设置长度、生成格式；支持存储要求：每张病案支持存储彩色。</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实现病案的保密和安全管理功能，及工作量的统计功能。</w:t>
      </w:r>
    </w:p>
    <w:p>
      <w:pPr>
        <w:pStyle w:val="7"/>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其他要求</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此项目不限于一种报价方式。</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软件与硬件及其配件项目内容与数量可根据软件的功能需要进行调整。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项目5：单病种管理系统</w:t>
      </w:r>
    </w:p>
    <w:p>
      <w:pPr>
        <w:pStyle w:val="7"/>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基本功能</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功能需求包括单病种质量管理与控制(数据上报)系统，临床辅助决策支持系统（CDSS），VTE风险自动评估和防治系统。</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单病种质量管理与控制(数据上报)平台：</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系统配置：包括字典注册管理、病种、术种字典映射管理、用户权限管理、提供满足字典上报需求的基础字典映射功能、系统新增病种功能等。</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上报端</w:t>
      </w:r>
      <w:r>
        <w:rPr>
          <w:rFonts w:hint="eastAsia" w:ascii="宋体" w:hAnsi="宋体" w:eastAsia="宋体" w:cs="宋体"/>
          <w:i w:val="0"/>
          <w:iCs w:val="0"/>
          <w:color w:val="000000"/>
          <w:kern w:val="0"/>
          <w:sz w:val="24"/>
          <w:szCs w:val="24"/>
          <w:u w:val="none"/>
          <w:lang w:val="en-US" w:eastAsia="zh-CN" w:bidi="ar"/>
        </w:rPr>
        <w:t>:包括单病种上报管理、单病种上报情况分析等。</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管理端</w:t>
      </w:r>
      <w:r>
        <w:rPr>
          <w:rFonts w:hint="eastAsia" w:ascii="宋体" w:hAnsi="宋体" w:eastAsia="宋体" w:cs="宋体"/>
          <w:i w:val="0"/>
          <w:iCs w:val="0"/>
          <w:color w:val="000000"/>
          <w:kern w:val="0"/>
          <w:sz w:val="24"/>
          <w:szCs w:val="24"/>
          <w:u w:val="none"/>
          <w:lang w:val="en-US" w:eastAsia="zh-CN" w:bidi="ar"/>
        </w:rPr>
        <w:t>：包括单病种上报过程质控、单病种上报各维度的统计分析等。</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2、临床辅助决策支持系统（CDSS）</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（1）对标国家电子病历五级、医院信息互联互通四级甲、智慧医院三星等进行总体规划设计。</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（2）疑似诊断列表推荐。包括诊断模块的疑似疾病列表推荐、多诊断分析。鉴别诊断模块的常见症状体征，鉴别诊断，知识库支持诊断疾病详情等。</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治疗方案推荐。包括治疗方案推荐模块的指南溯源、检查方案推荐、检验方案推荐、用药方案推荐、手术方案推荐、量表推荐，逻辑书写的基本信息质控，合理用药提醒的配伍禁忌、人群禁忌、过敏禁忌、症状禁忌、疾病禁忌。检查检验质控的检验质控、检验解读、检查质控</w:t>
      </w:r>
      <w:r>
        <w:rPr>
          <w:rFonts w:hint="eastAsia" w:ascii="宋体" w:hAnsi="宋体" w:cs="宋体" w:eastAsiaTheme="minorEastAsia"/>
          <w:kern w:val="2"/>
          <w:sz w:val="24"/>
          <w:szCs w:val="24"/>
          <w:lang w:val="en-US" w:eastAsia="zh-CN" w:bidi="ar-SA"/>
        </w:rPr>
        <w:t>等</w:t>
      </w:r>
      <w:r>
        <w:rPr>
          <w:rFonts w:hint="eastAsia" w:ascii="宋体" w:hAnsi="宋体" w:cs="宋体" w:eastAsiaTheme="minorEastAsia"/>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知识库模块。包括循证医学知识库的疾病知识库、药品知识库、检验知识库、检查知识库、手术知识库、医学计算公式、护理知识库、患教知识库、临床路径知识库、中医指南知识库、临床量表知识库，知识库搜索</w:t>
      </w:r>
      <w:r>
        <w:rPr>
          <w:rFonts w:hint="eastAsia" w:ascii="宋体" w:hAnsi="宋体" w:cs="宋体" w:eastAsiaTheme="minorEastAsia"/>
          <w:kern w:val="2"/>
          <w:sz w:val="24"/>
          <w:szCs w:val="24"/>
          <w:lang w:val="en-US" w:eastAsia="zh-CN" w:bidi="ar-SA"/>
        </w:rPr>
        <w:t>等</w:t>
      </w:r>
      <w:r>
        <w:rPr>
          <w:rFonts w:hint="eastAsia" w:ascii="宋体" w:hAnsi="宋体" w:cs="宋体" w:eastAsiaTheme="minorEastAsia"/>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（5）相似病例，结构化病历并智能搜索</w:t>
      </w:r>
      <w:r>
        <w:rPr>
          <w:rFonts w:hint="eastAsia" w:ascii="宋体" w:hAnsi="宋体" w:cs="宋体" w:eastAsiaTheme="minorEastAsia"/>
          <w:kern w:val="2"/>
          <w:sz w:val="24"/>
          <w:szCs w:val="24"/>
          <w:lang w:val="en-US" w:eastAsia="zh-CN" w:bidi="ar-SA"/>
        </w:rPr>
        <w:t>等</w:t>
      </w:r>
      <w:r>
        <w:rPr>
          <w:rFonts w:hint="eastAsia" w:ascii="宋体" w:hAnsi="宋体" w:cs="宋体" w:eastAsiaTheme="minorEastAsia"/>
          <w:kern w:val="2"/>
          <w:sz w:val="24"/>
          <w:szCs w:val="24"/>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（6）知识库管理平台。包括术语对照，术语知识维护，手术知识维护等。</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eastAsiaTheme="minorEastAsia"/>
          <w:b/>
          <w:bCs/>
          <w:kern w:val="2"/>
          <w:sz w:val="24"/>
          <w:szCs w:val="24"/>
          <w:lang w:val="en-US" w:eastAsia="zh-CN" w:bidi="ar-SA"/>
        </w:rPr>
        <w:t>3、</w:t>
      </w:r>
      <w:r>
        <w:rPr>
          <w:rFonts w:hint="eastAsia" w:ascii="宋体" w:hAnsi="宋体" w:eastAsia="宋体" w:cs="宋体"/>
          <w:b/>
          <w:bCs/>
          <w:i w:val="0"/>
          <w:iCs w:val="0"/>
          <w:color w:val="000000"/>
          <w:kern w:val="0"/>
          <w:sz w:val="24"/>
          <w:szCs w:val="24"/>
          <w:u w:val="none"/>
          <w:lang w:val="en-US" w:eastAsia="zh-CN" w:bidi="ar"/>
        </w:rPr>
        <w:t>VTE风险自动评估和防治系统</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（1）VTE全流程质控，包括初始风险评估、动态评估、出血风险评估、VTE预防措施、人机逐项对比、禁忌提示、恰当评估及预防情况监测等。</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（2）VTE质控管理，包括在院监测、质量控制指标等。</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（3）数据采集系统、系统管理。</w:t>
      </w:r>
    </w:p>
    <w:p>
      <w:pPr>
        <w:pStyle w:val="7"/>
        <w:ind w:left="0" w:leftChars="0" w:firstLine="0" w:firstLineChars="0"/>
        <w:rPr>
          <w:rFonts w:hint="default" w:ascii="宋体" w:hAnsi="宋体" w:eastAsia="宋体" w:cs="宋体"/>
          <w:i w:val="0"/>
          <w:iCs w:val="0"/>
          <w:color w:val="000000"/>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03623"/>
    <w:multiLevelType w:val="singleLevel"/>
    <w:tmpl w:val="99403623"/>
    <w:lvl w:ilvl="0" w:tentative="0">
      <w:start w:val="1"/>
      <w:numFmt w:val="chineseCounting"/>
      <w:suff w:val="nothing"/>
      <w:lvlText w:val="（%1）"/>
      <w:lvlJc w:val="left"/>
      <w:rPr>
        <w:rFonts w:hint="eastAsia"/>
      </w:rPr>
    </w:lvl>
  </w:abstractNum>
  <w:abstractNum w:abstractNumId="1">
    <w:nsid w:val="BCFFB04E"/>
    <w:multiLevelType w:val="singleLevel"/>
    <w:tmpl w:val="BCFFB04E"/>
    <w:lvl w:ilvl="0" w:tentative="0">
      <w:start w:val="2"/>
      <w:numFmt w:val="chineseCounting"/>
      <w:suff w:val="nothing"/>
      <w:lvlText w:val="（%1）"/>
      <w:lvlJc w:val="left"/>
      <w:rPr>
        <w:rFonts w:hint="eastAsia"/>
      </w:rPr>
    </w:lvl>
  </w:abstractNum>
  <w:abstractNum w:abstractNumId="2">
    <w:nsid w:val="C9A11C10"/>
    <w:multiLevelType w:val="singleLevel"/>
    <w:tmpl w:val="C9A11C10"/>
    <w:lvl w:ilvl="0" w:tentative="0">
      <w:start w:val="1"/>
      <w:numFmt w:val="decimal"/>
      <w:suff w:val="nothing"/>
      <w:lvlText w:val="%1、"/>
      <w:lvlJc w:val="left"/>
    </w:lvl>
  </w:abstractNum>
  <w:abstractNum w:abstractNumId="3">
    <w:nsid w:val="D2353258"/>
    <w:multiLevelType w:val="singleLevel"/>
    <w:tmpl w:val="D2353258"/>
    <w:lvl w:ilvl="0" w:tentative="0">
      <w:start w:val="1"/>
      <w:numFmt w:val="decimal"/>
      <w:suff w:val="nothing"/>
      <w:lvlText w:val="%1、"/>
      <w:lvlJc w:val="left"/>
    </w:lvl>
  </w:abstractNum>
  <w:abstractNum w:abstractNumId="4">
    <w:nsid w:val="E1920FF6"/>
    <w:multiLevelType w:val="singleLevel"/>
    <w:tmpl w:val="E1920FF6"/>
    <w:lvl w:ilvl="0" w:tentative="0">
      <w:start w:val="1"/>
      <w:numFmt w:val="chineseCounting"/>
      <w:suff w:val="nothing"/>
      <w:lvlText w:val="（%1）"/>
      <w:lvlJc w:val="left"/>
      <w:rPr>
        <w:rFonts w:hint="eastAsia"/>
      </w:rPr>
    </w:lvl>
  </w:abstractNum>
  <w:abstractNum w:abstractNumId="5">
    <w:nsid w:val="E65DEDBD"/>
    <w:multiLevelType w:val="singleLevel"/>
    <w:tmpl w:val="E65DEDBD"/>
    <w:lvl w:ilvl="0" w:tentative="0">
      <w:start w:val="1"/>
      <w:numFmt w:val="chineseCounting"/>
      <w:suff w:val="nothing"/>
      <w:lvlText w:val="（%1）"/>
      <w:lvlJc w:val="left"/>
      <w:rPr>
        <w:rFonts w:hint="eastAsia"/>
      </w:rPr>
    </w:lvl>
  </w:abstractNum>
  <w:abstractNum w:abstractNumId="6">
    <w:nsid w:val="0B3DD409"/>
    <w:multiLevelType w:val="singleLevel"/>
    <w:tmpl w:val="0B3DD409"/>
    <w:lvl w:ilvl="0" w:tentative="0">
      <w:start w:val="1"/>
      <w:numFmt w:val="decimal"/>
      <w:suff w:val="nothing"/>
      <w:lvlText w:val="（%1）"/>
      <w:lvlJc w:val="left"/>
    </w:lvl>
  </w:abstractNum>
  <w:abstractNum w:abstractNumId="7">
    <w:nsid w:val="35947FDE"/>
    <w:multiLevelType w:val="singleLevel"/>
    <w:tmpl w:val="35947FDE"/>
    <w:lvl w:ilvl="0" w:tentative="0">
      <w:start w:val="2"/>
      <w:numFmt w:val="chineseCounting"/>
      <w:lvlText w:val="(%1)"/>
      <w:lvlJc w:val="left"/>
      <w:pPr>
        <w:tabs>
          <w:tab w:val="left" w:pos="312"/>
        </w:tabs>
      </w:pPr>
      <w:rPr>
        <w:rFonts w:hint="eastAsia"/>
      </w:rPr>
    </w:lvl>
  </w:abstractNum>
  <w:abstractNum w:abstractNumId="8">
    <w:nsid w:val="5B71F8E2"/>
    <w:multiLevelType w:val="singleLevel"/>
    <w:tmpl w:val="5B71F8E2"/>
    <w:lvl w:ilvl="0" w:tentative="0">
      <w:start w:val="1"/>
      <w:numFmt w:val="decimal"/>
      <w:suff w:val="nothing"/>
      <w:lvlText w:val="%1、"/>
      <w:lvlJc w:val="left"/>
    </w:lvl>
  </w:abstractNum>
  <w:abstractNum w:abstractNumId="9">
    <w:nsid w:val="60A56C7F"/>
    <w:multiLevelType w:val="singleLevel"/>
    <w:tmpl w:val="60A56C7F"/>
    <w:lvl w:ilvl="0" w:tentative="0">
      <w:start w:val="1"/>
      <w:numFmt w:val="decimal"/>
      <w:suff w:val="nothing"/>
      <w:lvlText w:val="%1、"/>
      <w:lvlJc w:val="left"/>
    </w:lvl>
  </w:abstractNum>
  <w:abstractNum w:abstractNumId="10">
    <w:nsid w:val="6954B589"/>
    <w:multiLevelType w:val="singleLevel"/>
    <w:tmpl w:val="6954B589"/>
    <w:lvl w:ilvl="0" w:tentative="0">
      <w:start w:val="1"/>
      <w:numFmt w:val="chineseCounting"/>
      <w:suff w:val="nothing"/>
      <w:lvlText w:val="（%1）"/>
      <w:lvlJc w:val="left"/>
      <w:rPr>
        <w:rFonts w:hint="eastAsia"/>
      </w:rPr>
    </w:lvl>
  </w:abstractNum>
  <w:num w:numId="1">
    <w:abstractNumId w:val="1"/>
  </w:num>
  <w:num w:numId="2">
    <w:abstractNumId w:val="5"/>
  </w:num>
  <w:num w:numId="3">
    <w:abstractNumId w:val="10"/>
  </w:num>
  <w:num w:numId="4">
    <w:abstractNumId w:val="9"/>
  </w:num>
  <w:num w:numId="5">
    <w:abstractNumId w:val="0"/>
  </w:num>
  <w:num w:numId="6">
    <w:abstractNumId w:val="2"/>
  </w:num>
  <w:num w:numId="7">
    <w:abstractNumId w:val="7"/>
  </w:num>
  <w:num w:numId="8">
    <w:abstractNumId w:val="8"/>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F27AE"/>
    <w:rsid w:val="14BD7059"/>
    <w:rsid w:val="14D3658E"/>
    <w:rsid w:val="173B28C5"/>
    <w:rsid w:val="208F27AE"/>
    <w:rsid w:val="217276B4"/>
    <w:rsid w:val="2FD71536"/>
    <w:rsid w:val="42A71F71"/>
    <w:rsid w:val="46804B00"/>
    <w:rsid w:val="470A528F"/>
    <w:rsid w:val="4CC959D7"/>
    <w:rsid w:val="5C955B87"/>
    <w:rsid w:val="68BC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szCs w:val="20"/>
    </w:rPr>
  </w:style>
  <w:style w:type="paragraph" w:styleId="4">
    <w:name w:val="Normal Indent"/>
    <w:basedOn w:val="1"/>
    <w:qFormat/>
    <w:uiPriority w:val="0"/>
    <w:pPr>
      <w:ind w:firstLine="200" w:firstLineChars="200"/>
    </w:pPr>
  </w:style>
  <w:style w:type="paragraph" w:styleId="5">
    <w:name w:val="Body Text Indent"/>
    <w:basedOn w:val="1"/>
    <w:next w:val="6"/>
    <w:qFormat/>
    <w:uiPriority w:val="99"/>
    <w:pPr>
      <w:spacing w:after="120"/>
      <w:ind w:left="420" w:leftChars="200"/>
      <w:jc w:val="both"/>
    </w:pPr>
    <w:rPr>
      <w:rFonts w:ascii="Times New Roman" w:hAnsi="Times New Roman" w:cs="Times New Roman"/>
      <w:kern w:val="2"/>
      <w:sz w:val="21"/>
      <w:szCs w:val="24"/>
      <w:lang w:eastAsia="zh-CN"/>
    </w:rPr>
  </w:style>
  <w:style w:type="paragraph" w:styleId="6">
    <w:name w:val="envelope return"/>
    <w:basedOn w:val="1"/>
    <w:qFormat/>
    <w:uiPriority w:val="99"/>
    <w:pPr>
      <w:snapToGrid w:val="0"/>
    </w:pPr>
    <w:rPr>
      <w:rFonts w:ascii="Arial" w:hAnsi="Arial" w:cs="Arial"/>
    </w:rPr>
  </w:style>
  <w:style w:type="paragraph" w:styleId="7">
    <w:name w:val="List"/>
    <w:basedOn w:val="1"/>
    <w:qFormat/>
    <w:uiPriority w:val="99"/>
    <w:pPr>
      <w:ind w:left="420" w:hanging="420"/>
    </w:pPr>
    <w:rPr>
      <w:rFonts w:ascii="Arial" w:hAnsi="Arial" w:eastAsia="楷体_GB2312"/>
      <w:kern w:val="2"/>
      <w:sz w:val="2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7"/>
    <w:qFormat/>
    <w:uiPriority w:val="99"/>
    <w:pPr>
      <w:ind w:firstLine="420" w:firstLineChars="200"/>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Table Paragraph"/>
    <w:basedOn w:val="1"/>
    <w:qFormat/>
    <w:uiPriority w:val="1"/>
    <w:pPr>
      <w:spacing w:before="116"/>
      <w:ind w:left="14"/>
    </w:pPr>
    <w:rPr>
      <w:rFonts w:ascii="宋体" w:hAnsi="宋体" w:eastAsia="宋体" w:cs="宋体"/>
      <w:lang w:val="zh-CN" w:eastAsia="zh-CN" w:bidi="zh-CN"/>
    </w:rPr>
  </w:style>
  <w:style w:type="paragraph" w:customStyle="1" w:styleId="15">
    <w:name w:val="GW-正文"/>
    <w:basedOn w:val="1"/>
    <w:qFormat/>
    <w:uiPriority w:val="0"/>
    <w:pPr>
      <w:spacing w:line="360" w:lineRule="auto"/>
      <w:ind w:firstLine="200" w:firstLineChars="200"/>
    </w:pPr>
    <w:rPr>
      <w:rFonts w:eastAsia="仿宋_GB2312" w:asciiTheme="minorHAnsi" w:hAnsiTheme="minorHAnsi" w:cstheme="minorBid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2024-06-18T01:33:00Z</dcterms:created>
  <dc:creator>ly</dc:creator>
  <cp:lastModifiedBy>ly</cp:lastModifiedBy>
  <dcterms:modified xsi:type="dcterms:W3CDTF">2024-06-20T03:49:07Z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37158E7CB7294ADCBE06E42CEF4C1C00</vt:lpwstr>
  </property>
</Properties>
</file>