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资阳市雁江区人民医院</w:t>
      </w:r>
    </w:p>
    <w:p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双关节手术器械询价采购需求</w:t>
      </w:r>
    </w:p>
    <w:p>
      <w:pPr>
        <w:spacing w:line="360" w:lineRule="auto"/>
        <w:rPr>
          <w:rFonts w:asciiTheme="minorEastAsia" w:hAnsiTheme="minorEastAsia"/>
          <w:sz w:val="36"/>
          <w:szCs w:val="36"/>
        </w:rPr>
      </w:pPr>
    </w:p>
    <w:p>
      <w:pPr>
        <w:pStyle w:val="15"/>
        <w:numPr>
          <w:ilvl w:val="0"/>
          <w:numId w:val="0"/>
        </w:numPr>
        <w:spacing w:line="360" w:lineRule="auto"/>
        <w:ind w:leftChars="0"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b/>
          <w:sz w:val="24"/>
          <w:szCs w:val="24"/>
        </w:rPr>
        <w:t>技术、功能要求及其他相关要求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本项目最高限价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3.6</w:t>
      </w:r>
      <w:r>
        <w:rPr>
          <w:rFonts w:hint="eastAsia"/>
          <w:sz w:val="24"/>
          <w:szCs w:val="24"/>
          <w:lang w:val="en-US" w:eastAsia="zh-CN"/>
        </w:rPr>
        <w:t>万元。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采</w:t>
      </w:r>
      <w:r>
        <w:rPr>
          <w:rFonts w:hint="eastAsia"/>
          <w:lang w:val="en-US" w:eastAsia="zh-CN"/>
        </w:rPr>
        <w:t>购清单及技术要求</w:t>
      </w:r>
    </w:p>
    <w:tbl>
      <w:tblPr>
        <w:tblStyle w:val="11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905"/>
        <w:gridCol w:w="3975"/>
        <w:gridCol w:w="705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弧高20（双排齿），De Bakey,有锁扣，进口钢，用于血管夹持止血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血管阻断钳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海绵钳（卵圆头）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头宽10mm，De Bakey，有锁扣，进口钢，可用于胸腔镜夹持组织和牵拉组织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海绵钳（蛇头型）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头宽5mm，有锁扣，进口钢，可用于胸腔镜夹持组织和牵拉组织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推结器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φ5×280（扁V），V型手术辅助推结，用于推结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直角钳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角弯90°角弯高15-20mm，De Bakey,有锁扣，进口钢，用于血管夹持及游离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冲吸器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φ5.5×280（弧弯）,手柄式，弯型医用吸引管，可用于胸腔镜，用于游离组织及冲、吸积液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弧高15小弯，De Bakey,有锁扣，进口钢，用于血管夹持及游离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海绵钳（卵圆头）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头宽10mm，De Bakey，有锁扣，进口钢，可用于胸腔镜夹持组织和牵拉组织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弯头，进口钢，可用于胸腔镜，用于持针缝合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撑开器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胸骨撑开器，进口钢，用已牵开组织，显露手术范围，便于探查和操作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  <w:lang w:eastAsia="zh-CN"/>
        </w:rPr>
        <w:t>二</w:t>
      </w:r>
      <w:r>
        <w:rPr>
          <w:rFonts w:hint="eastAsia" w:ascii="宋体" w:hAnsi="宋体"/>
          <w:b/>
          <w:bCs/>
          <w:color w:val="auto"/>
          <w:sz w:val="24"/>
        </w:rPr>
        <w:t>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合同签订时间：成交公告公示结束后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</w:rPr>
        <w:t>日内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合同履行时间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合同签订后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10日内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履约地点：资阳市雁江区人民医院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质保期：≥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半年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5.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付款方式：</w:t>
      </w:r>
      <w:r>
        <w:rPr>
          <w:rFonts w:hint="eastAsia" w:ascii="宋体" w:hAnsi="宋体" w:cs="宋体"/>
          <w:color w:val="auto"/>
          <w:sz w:val="24"/>
        </w:rPr>
        <w:t>器械</w:t>
      </w:r>
      <w:r>
        <w:rPr>
          <w:rFonts w:hint="eastAsia" w:ascii="宋体" w:hAnsi="宋体" w:cs="宋体"/>
          <w:color w:val="auto"/>
          <w:sz w:val="24"/>
          <w:lang w:eastAsia="zh-CN"/>
        </w:rPr>
        <w:t>送达</w:t>
      </w:r>
      <w:r>
        <w:rPr>
          <w:rFonts w:hint="eastAsia" w:ascii="宋体" w:hAnsi="宋体" w:cs="宋体"/>
          <w:color w:val="auto"/>
          <w:sz w:val="24"/>
        </w:rPr>
        <w:t>、调试、验收等合格后</w:t>
      </w:r>
      <w:r>
        <w:rPr>
          <w:rFonts w:hint="eastAsia" w:ascii="宋体" w:hAnsi="宋体" w:cs="宋体"/>
          <w:color w:val="auto"/>
          <w:sz w:val="24"/>
          <w:lang w:eastAsia="zh-CN"/>
        </w:rPr>
        <w:t>，收到供应商提供的合法有效票据并完善相关财务报销手续转账</w:t>
      </w:r>
      <w:r>
        <w:rPr>
          <w:rFonts w:hint="eastAsia" w:ascii="宋体" w:hAnsi="宋体" w:cs="宋体"/>
          <w:color w:val="auto"/>
          <w:sz w:val="24"/>
        </w:rPr>
        <w:t>支付合同总款项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90</w:t>
      </w:r>
      <w:r>
        <w:rPr>
          <w:rFonts w:hint="eastAsia" w:ascii="宋体" w:hAnsi="宋体" w:cs="宋体"/>
          <w:color w:val="auto"/>
          <w:sz w:val="24"/>
        </w:rPr>
        <w:t>%，剩余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</w:rPr>
        <w:t>%的款项于质保期满后无息</w:t>
      </w:r>
      <w:r>
        <w:rPr>
          <w:rFonts w:hint="eastAsia" w:ascii="宋体" w:hAnsi="宋体" w:cs="宋体"/>
          <w:color w:val="auto"/>
          <w:sz w:val="24"/>
          <w:lang w:eastAsia="zh-CN"/>
        </w:rPr>
        <w:t>一次性</w:t>
      </w:r>
      <w:r>
        <w:rPr>
          <w:rFonts w:hint="eastAsia" w:ascii="宋体" w:hAnsi="宋体" w:cs="宋体"/>
          <w:color w:val="auto"/>
          <w:sz w:val="24"/>
        </w:rPr>
        <w:t>转账支付。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hint="eastAsia" w:asciiTheme="minorEastAsia" w:hAnsiTheme="minorEastAsia"/>
          <w:sz w:val="24"/>
        </w:rPr>
        <w:t>和履约验收管理的指导意见》（财库[2016]205号）。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  <w:r>
        <w:rPr>
          <w:rFonts w:hint="eastAsia"/>
          <w:b/>
          <w:bCs/>
        </w:rPr>
        <w:t>注：</w:t>
      </w:r>
      <w:r>
        <w:rPr>
          <w:rFonts w:hint="eastAsia"/>
        </w:rPr>
        <w:t>本次询价采购供应商需全部满足采购需求，不允许负偏离，否则为无效响应。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三、供应商资格要求及证明材料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.参加政府采购活动前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color w:val="FF0000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color w:val="auto"/>
          <w:kern w:val="0"/>
          <w:sz w:val="24"/>
          <w:lang w:val="zh-CN"/>
        </w:rPr>
        <w:t>8.根据采购项目提出的特殊条件：若投标产品为医疗器械的，所投产品须符合《医疗器械注册管理办法》等政策法规要求并具有中华人民共和国医疗器械注册或备案凭证；若投标产品为医疗器械的，供应商须符合《医疗器械监督管理条例》等政策法规要求并具有医疗器械经营许可/备案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  <w:lang w:eastAsia="zh-CN"/>
        </w:rPr>
        <w:t>四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、响应文件要求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询价</w:t>
      </w:r>
      <w:r>
        <w:rPr>
          <w:rFonts w:hint="eastAsia" w:cs="宋体-18030" w:asciiTheme="minorEastAsia" w:hAnsiTheme="minorEastAsia"/>
          <w:kern w:val="0"/>
          <w:sz w:val="24"/>
        </w:rPr>
        <w:t>文件的要求制作，签署、盖章和内容应完整。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  <w:lang w:eastAsia="zh-CN"/>
        </w:rPr>
        <w:t>五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</w:t>
      </w:r>
      <w:r>
        <w:rPr>
          <w:rFonts w:hint="eastAsia" w:cs="宋体-18030" w:asciiTheme="minorEastAsia" w:hAnsiTheme="minorEastAsia"/>
          <w:color w:val="auto"/>
          <w:kern w:val="0"/>
          <w:sz w:val="24"/>
          <w:highlight w:val="none"/>
        </w:rPr>
        <w:t>时间：</w:t>
      </w:r>
      <w:r>
        <w:rPr>
          <w:rFonts w:hint="eastAsia" w:cs="宋体-18030" w:asciiTheme="minorEastAsia" w:hAnsiTheme="minorEastAsia"/>
          <w:color w:val="auto"/>
          <w:kern w:val="0"/>
          <w:sz w:val="24"/>
          <w:highlight w:val="none"/>
          <w:lang w:val="en-US" w:eastAsia="zh-CN"/>
        </w:rPr>
        <w:t>2024</w:t>
      </w:r>
      <w:r>
        <w:rPr>
          <w:rFonts w:hint="eastAsia" w:cs="宋体-18030" w:asciiTheme="minorEastAsia" w:hAnsiTheme="minorEastAsia"/>
          <w:color w:val="auto"/>
          <w:kern w:val="0"/>
          <w:sz w:val="24"/>
          <w:highlight w:val="none"/>
        </w:rPr>
        <w:t>年</w:t>
      </w:r>
      <w:r>
        <w:rPr>
          <w:rFonts w:hint="eastAsia" w:cs="宋体-18030" w:asciiTheme="minorEastAsia" w:hAnsiTheme="minorEastAsia"/>
          <w:color w:val="auto"/>
          <w:kern w:val="0"/>
          <w:sz w:val="24"/>
          <w:highlight w:val="none"/>
          <w:lang w:val="en-US" w:eastAsia="zh-CN"/>
        </w:rPr>
        <w:t>6</w:t>
      </w:r>
      <w:r>
        <w:rPr>
          <w:rFonts w:hint="eastAsia" w:cs="宋体-18030" w:asciiTheme="minorEastAsia" w:hAnsiTheme="minorEastAsia"/>
          <w:color w:val="auto"/>
          <w:kern w:val="0"/>
          <w:sz w:val="24"/>
          <w:highlight w:val="none"/>
        </w:rPr>
        <w:t>月</w:t>
      </w:r>
      <w:r>
        <w:rPr>
          <w:rFonts w:hint="eastAsia" w:cs="宋体-18030" w:asciiTheme="minorEastAsia" w:hAnsiTheme="minorEastAsia"/>
          <w:color w:val="auto"/>
          <w:kern w:val="0"/>
          <w:sz w:val="24"/>
          <w:highlight w:val="none"/>
          <w:lang w:val="en-US" w:eastAsia="zh-CN"/>
        </w:rPr>
        <w:t>21</w:t>
      </w:r>
      <w:r>
        <w:rPr>
          <w:rFonts w:hint="eastAsia" w:cs="宋体-18030" w:asciiTheme="minorEastAsia" w:hAnsiTheme="minorEastAsia"/>
          <w:color w:val="auto"/>
          <w:kern w:val="0"/>
          <w:sz w:val="24"/>
          <w:highlight w:val="none"/>
        </w:rPr>
        <w:t>日</w:t>
      </w:r>
      <w:r>
        <w:rPr>
          <w:rFonts w:hint="eastAsia" w:cs="宋体-18030" w:asciiTheme="minorEastAsia" w:hAnsiTheme="minorEastAsia"/>
          <w:color w:val="auto"/>
          <w:kern w:val="0"/>
          <w:sz w:val="24"/>
          <w:highlight w:val="none"/>
          <w:lang w:val="en-US" w:eastAsia="zh-CN"/>
        </w:rPr>
        <w:t>17:00</w:t>
      </w:r>
      <w:r>
        <w:rPr>
          <w:rFonts w:hint="eastAsia" w:cs="宋体-18030" w:asciiTheme="minorEastAsia" w:hAnsiTheme="minorEastAsia"/>
          <w:color w:val="auto"/>
          <w:kern w:val="0"/>
          <w:sz w:val="24"/>
          <w:highlight w:val="none"/>
        </w:rPr>
        <w:t>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2.递交响应文件地点：资阳市雁江区人民医院采购办（住院部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12</w:t>
      </w:r>
      <w:r>
        <w:rPr>
          <w:rFonts w:hint="eastAsia" w:cs="宋体-18030" w:asciiTheme="minorEastAsia" w:hAnsiTheme="minorEastAsia"/>
          <w:kern w:val="0"/>
          <w:sz w:val="24"/>
        </w:rPr>
        <w:t>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  <w:lang w:eastAsia="zh-CN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</w:rPr>
        <w:t>联系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方式</w:t>
      </w:r>
      <w:r>
        <w:rPr>
          <w:rFonts w:hint="eastAsia" w:cs="宋体-18030" w:asciiTheme="minorEastAsia" w:hAnsiTheme="minorEastAsia"/>
          <w:kern w:val="0"/>
          <w:sz w:val="24"/>
        </w:rPr>
        <w:t>：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采购办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028-26346672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七、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一、报价表（金额单位：元）</w:t>
      </w:r>
    </w:p>
    <w:tbl>
      <w:tblPr>
        <w:tblStyle w:val="11"/>
        <w:tblW w:w="8304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2"/>
        <w:gridCol w:w="1356"/>
        <w:gridCol w:w="852"/>
        <w:gridCol w:w="828"/>
        <w:gridCol w:w="876"/>
        <w:gridCol w:w="1183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-18030" w:asciiTheme="minorEastAsia" w:hAnsi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总价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04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本次报价含货物、运输、人工费及税费等。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二、是否全部响应本次采购需求：是□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</w:t>
      </w:r>
    </w:p>
    <w:p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</w:p>
    <w:p>
      <w:pPr>
        <w:spacing w:line="360" w:lineRule="auto"/>
        <w:ind w:firstLine="3120" w:firstLineChars="13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投标人名称（盖章）：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ZTNmMTA1M2M4YTZjMTRkOTNkZmMxYWY5YjVlYWQifQ=="/>
  </w:docVars>
  <w:rsids>
    <w:rsidRoot w:val="000D5BC6"/>
    <w:rsid w:val="000230D4"/>
    <w:rsid w:val="00044082"/>
    <w:rsid w:val="00063B66"/>
    <w:rsid w:val="00091E77"/>
    <w:rsid w:val="000B51C4"/>
    <w:rsid w:val="000B5604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045902F4"/>
    <w:rsid w:val="1CC31199"/>
    <w:rsid w:val="1FAF20DC"/>
    <w:rsid w:val="276A6EC1"/>
    <w:rsid w:val="281C5F79"/>
    <w:rsid w:val="284138AF"/>
    <w:rsid w:val="2F2564F1"/>
    <w:rsid w:val="311B31B5"/>
    <w:rsid w:val="329E0C57"/>
    <w:rsid w:val="3C19751A"/>
    <w:rsid w:val="3E624969"/>
    <w:rsid w:val="3E8D0F4D"/>
    <w:rsid w:val="41B859F1"/>
    <w:rsid w:val="47FE21A4"/>
    <w:rsid w:val="4A1252C8"/>
    <w:rsid w:val="4F393C1A"/>
    <w:rsid w:val="55E21352"/>
    <w:rsid w:val="5C5F0883"/>
    <w:rsid w:val="69807EFF"/>
    <w:rsid w:val="6ED83A04"/>
    <w:rsid w:val="72707C3D"/>
    <w:rsid w:val="7AB229CD"/>
    <w:rsid w:val="7F29203D"/>
    <w:rsid w:val="7FD25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customStyle="1" w:styleId="3">
    <w:name w:val="UserStyle_2"/>
    <w:next w:val="1"/>
    <w:qFormat/>
    <w:uiPriority w:val="0"/>
    <w:pPr>
      <w:textAlignment w:val="baseline"/>
    </w:pPr>
    <w:rPr>
      <w:rFonts w:ascii="楷体à.ā" w:hAnsi="Calibri" w:eastAsia="楷体à.ā" w:cs="Times New Roman"/>
      <w:color w:val="000000"/>
      <w:sz w:val="24"/>
      <w:lang w:val="en-US" w:eastAsia="zh-CN" w:bidi="ar-SA"/>
    </w:rPr>
  </w:style>
  <w:style w:type="paragraph" w:styleId="4">
    <w:name w:val="Normal Indent"/>
    <w:basedOn w:val="1"/>
    <w:link w:val="1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link w:val="20"/>
    <w:qFormat/>
    <w:uiPriority w:val="99"/>
    <w:pPr>
      <w:spacing w:after="120"/>
    </w:pPr>
    <w:rPr>
      <w:szCs w:val="24"/>
    </w:rPr>
  </w:style>
  <w:style w:type="paragraph" w:styleId="7">
    <w:name w:val="Plain Text"/>
    <w:basedOn w:val="1"/>
    <w:link w:val="24"/>
    <w:qFormat/>
    <w:uiPriority w:val="0"/>
    <w:rPr>
      <w:rFonts w:ascii="宋体" w:hAnsi="Courier New" w:eastAsia="宋体" w:cs="Courier New"/>
      <w:szCs w:val="21"/>
    </w:rPr>
  </w:style>
  <w:style w:type="paragraph" w:styleId="8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9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paragraph" w:styleId="10">
    <w:name w:val="Body Text First Indent"/>
    <w:basedOn w:val="6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link w:val="18"/>
    <w:qFormat/>
    <w:uiPriority w:val="0"/>
    <w:pPr>
      <w:ind w:firstLine="420" w:firstLineChars="200"/>
    </w:pPr>
  </w:style>
  <w:style w:type="character" w:customStyle="1" w:styleId="16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正文缩进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列出段落 Char"/>
    <w:link w:val="15"/>
    <w:qFormat/>
    <w:uiPriority w:val="0"/>
  </w:style>
  <w:style w:type="paragraph" w:customStyle="1" w:styleId="1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20">
    <w:name w:val="正文文本 Char"/>
    <w:link w:val="6"/>
    <w:qFormat/>
    <w:locked/>
    <w:uiPriority w:val="99"/>
    <w:rPr>
      <w:szCs w:val="24"/>
    </w:rPr>
  </w:style>
  <w:style w:type="character" w:customStyle="1" w:styleId="21">
    <w:name w:val="正文文本 Char1"/>
    <w:basedOn w:val="13"/>
    <w:semiHidden/>
    <w:qFormat/>
    <w:uiPriority w:val="99"/>
  </w:style>
  <w:style w:type="character" w:customStyle="1" w:styleId="22">
    <w:name w:val="批注文字 Char"/>
    <w:basedOn w:val="13"/>
    <w:link w:val="5"/>
    <w:semiHidden/>
    <w:qFormat/>
    <w:uiPriority w:val="99"/>
  </w:style>
  <w:style w:type="character" w:customStyle="1" w:styleId="23">
    <w:name w:val="批注主题 Char"/>
    <w:basedOn w:val="22"/>
    <w:link w:val="9"/>
    <w:semiHidden/>
    <w:qFormat/>
    <w:uiPriority w:val="99"/>
    <w:rPr>
      <w:b/>
      <w:bCs/>
    </w:rPr>
  </w:style>
  <w:style w:type="character" w:customStyle="1" w:styleId="24">
    <w:name w:val="纯文本 Char"/>
    <w:basedOn w:val="13"/>
    <w:link w:val="7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1775</Words>
  <Characters>1892</Characters>
  <Lines>35</Lines>
  <Paragraphs>10</Paragraphs>
  <TotalTime>9</TotalTime>
  <ScaleCrop>false</ScaleCrop>
  <LinksUpToDate>false</LinksUpToDate>
  <CharactersWithSpaces>2037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TYY</cp:lastModifiedBy>
  <dcterms:modified xsi:type="dcterms:W3CDTF">2024-06-17T08:37:05Z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8D5A85B3B5774C6289B59085B1830018_13</vt:lpwstr>
  </property>
</Properties>
</file>