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2024年桶装饮用水</w:t>
      </w:r>
      <w:r>
        <w:rPr>
          <w:rFonts w:hint="eastAsia" w:ascii="方正小标宋简体" w:hAnsi="方正小标宋简体" w:eastAsia="方正小标宋简体"/>
          <w:sz w:val="44"/>
          <w:szCs w:val="44"/>
        </w:rPr>
        <w:t>询价采购需求</w:t>
      </w:r>
    </w:p>
    <w:p>
      <w:pPr>
        <w:autoSpaceDN w:val="0"/>
        <w:spacing w:line="360" w:lineRule="auto"/>
        <w:jc w:val="left"/>
        <w:rPr>
          <w:rFonts w:ascii="宋体" w:hAnsi="宋体" w:eastAsia="宋体" w:cs="楷体_GB2312"/>
          <w:b/>
          <w:bCs/>
          <w:sz w:val="24"/>
          <w:szCs w:val="24"/>
        </w:rPr>
      </w:pPr>
    </w:p>
    <w:p>
      <w:pPr>
        <w:keepNext w:val="0"/>
        <w:keepLines w:val="0"/>
        <w:pageBreakBefore w:val="0"/>
        <w:numPr>
          <w:ilvl w:val="0"/>
          <w:numId w:val="1"/>
        </w:numPr>
        <w:kinsoku/>
        <w:wordWrap/>
        <w:overflowPunct/>
        <w:topLinePunct w:val="0"/>
        <w:autoSpaceDE/>
        <w:autoSpaceDN/>
        <w:bidi w:val="0"/>
        <w:adjustRightInd/>
        <w:snapToGrid/>
        <w:spacing w:line="360" w:lineRule="auto"/>
        <w:rPr>
          <w:rFonts w:hint="eastAsia" w:asciiTheme="minorEastAsia" w:hAnsiTheme="minorEastAsia"/>
          <w:b/>
          <w:sz w:val="24"/>
          <w:szCs w:val="24"/>
          <w:lang w:eastAsia="zh-CN"/>
        </w:rPr>
      </w:pPr>
      <w:r>
        <w:rPr>
          <w:rFonts w:hint="eastAsia" w:asciiTheme="minorEastAsia" w:hAnsiTheme="minorEastAsia"/>
          <w:b/>
          <w:sz w:val="24"/>
          <w:szCs w:val="24"/>
          <w:lang w:eastAsia="zh-CN"/>
        </w:rPr>
        <w:t>采购清单</w:t>
      </w:r>
    </w:p>
    <w:tbl>
      <w:tblPr>
        <w:tblStyle w:val="8"/>
        <w:tblW w:w="45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83"/>
        <w:gridCol w:w="1050"/>
        <w:gridCol w:w="706"/>
        <w:gridCol w:w="832"/>
        <w:gridCol w:w="129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5" w:type="pct"/>
            <w:noWrap/>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084" w:type="pct"/>
            <w:noWrap w:val="0"/>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物资名称</w:t>
            </w:r>
          </w:p>
        </w:tc>
        <w:tc>
          <w:tcPr>
            <w:tcW w:w="676" w:type="pct"/>
            <w:noWrap w:val="0"/>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规格</w:t>
            </w:r>
          </w:p>
        </w:tc>
        <w:tc>
          <w:tcPr>
            <w:tcW w:w="454" w:type="pct"/>
            <w:noWrap w:val="0"/>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单位</w:t>
            </w:r>
          </w:p>
        </w:tc>
        <w:tc>
          <w:tcPr>
            <w:tcW w:w="536" w:type="pct"/>
            <w:noWrap w:val="0"/>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数量</w:t>
            </w:r>
          </w:p>
        </w:tc>
        <w:tc>
          <w:tcPr>
            <w:tcW w:w="835" w:type="pct"/>
            <w:noWrap w:val="0"/>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最高单价限价（元）</w:t>
            </w:r>
          </w:p>
        </w:tc>
        <w:tc>
          <w:tcPr>
            <w:tcW w:w="947" w:type="pct"/>
            <w:noWrap w:val="0"/>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65" w:type="pct"/>
            <w:noWrap/>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084" w:type="pct"/>
            <w:noWrap w:val="0"/>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桶装饮用水</w:t>
            </w:r>
            <w:r>
              <w:rPr>
                <w:rFonts w:hint="eastAsia" w:ascii="宋体" w:hAnsi="宋体" w:eastAsia="宋体" w:cs="宋体"/>
                <w:color w:val="auto"/>
                <w:sz w:val="24"/>
                <w:szCs w:val="24"/>
                <w:lang w:val="en-US" w:eastAsia="zh-CN"/>
              </w:rPr>
              <w:t>1</w:t>
            </w:r>
          </w:p>
        </w:tc>
        <w:tc>
          <w:tcPr>
            <w:tcW w:w="676"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val="en-US" w:eastAsia="zh-CN"/>
              </w:rPr>
            </w:pPr>
            <w:r>
              <w:rPr>
                <w:rFonts w:hint="eastAsia" w:ascii="Times New Roman" w:hAnsi="Times New Roman" w:eastAsia="仿宋" w:cs="仿宋"/>
                <w:kern w:val="0"/>
                <w:sz w:val="24"/>
                <w:szCs w:val="24"/>
              </w:rPr>
              <w:t>18.9</w:t>
            </w:r>
            <w:r>
              <w:rPr>
                <w:rFonts w:hint="eastAsia" w:ascii="Times New Roman" w:hAnsi="Times New Roman" w:eastAsia="仿宋" w:cs="仿宋"/>
                <w:kern w:val="0"/>
                <w:sz w:val="24"/>
                <w:szCs w:val="24"/>
                <w:lang w:val="en-US" w:eastAsia="zh-CN"/>
              </w:rPr>
              <w:t xml:space="preserve"> L</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rPr>
              <w:t>桶</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000</w:t>
            </w:r>
          </w:p>
        </w:tc>
        <w:tc>
          <w:tcPr>
            <w:tcW w:w="835"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kern w:val="0"/>
                <w:sz w:val="24"/>
                <w:szCs w:val="24"/>
                <w:lang w:val="en-US" w:eastAsia="zh-CN"/>
              </w:rPr>
              <w:t>15.00</w:t>
            </w:r>
          </w:p>
        </w:tc>
        <w:tc>
          <w:tcPr>
            <w:tcW w:w="947"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eastAsiaTheme="minorEastAsia"/>
                <w:kern w:val="0"/>
                <w:sz w:val="24"/>
                <w:szCs w:val="24"/>
                <w:lang w:val="en-US" w:eastAsia="zh-CN" w:bidi="ar-SA"/>
              </w:rPr>
            </w:pPr>
            <w:r>
              <w:rPr>
                <w:rFonts w:hint="eastAsia" w:ascii="宋体" w:hAnsi="宋体" w:cs="宋体"/>
                <w:color w:val="000000"/>
                <w:kern w:val="0"/>
                <w:sz w:val="24"/>
                <w:szCs w:val="24"/>
                <w:lang w:val="en-US" w:eastAsia="zh-CN" w:bidi="ar"/>
              </w:rPr>
              <w:t>165000.00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65" w:type="pct"/>
            <w:noWrap/>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084" w:type="pct"/>
            <w:noWrap w:val="0"/>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桶装饮用水</w:t>
            </w:r>
            <w:r>
              <w:rPr>
                <w:rFonts w:hint="eastAsia" w:ascii="宋体" w:hAnsi="宋体" w:eastAsia="宋体" w:cs="宋体"/>
                <w:color w:val="auto"/>
                <w:sz w:val="24"/>
                <w:szCs w:val="24"/>
                <w:lang w:val="en-US" w:eastAsia="zh-CN"/>
              </w:rPr>
              <w:t>2</w:t>
            </w:r>
          </w:p>
        </w:tc>
        <w:tc>
          <w:tcPr>
            <w:tcW w:w="676"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lang w:val="en-US" w:eastAsia="zh-CN"/>
              </w:rPr>
            </w:pPr>
            <w:r>
              <w:rPr>
                <w:rFonts w:hint="eastAsia" w:ascii="Times New Roman" w:hAnsi="Times New Roman" w:eastAsia="仿宋" w:cs="仿宋"/>
                <w:kern w:val="0"/>
                <w:sz w:val="24"/>
                <w:szCs w:val="24"/>
              </w:rPr>
              <w:t>11.3</w:t>
            </w:r>
            <w:r>
              <w:rPr>
                <w:rFonts w:hint="eastAsia" w:ascii="Times New Roman" w:hAnsi="Times New Roman" w:eastAsia="仿宋" w:cs="仿宋"/>
                <w:kern w:val="0"/>
                <w:sz w:val="24"/>
                <w:szCs w:val="24"/>
                <w:lang w:val="en-US" w:eastAsia="zh-CN"/>
              </w:rPr>
              <w:t xml:space="preserve"> L</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rPr>
              <w:t>桶</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00</w:t>
            </w:r>
          </w:p>
        </w:tc>
        <w:tc>
          <w:tcPr>
            <w:tcW w:w="835"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kern w:val="0"/>
                <w:sz w:val="24"/>
                <w:szCs w:val="24"/>
                <w:lang w:val="en-US" w:eastAsia="zh-CN"/>
              </w:rPr>
              <w:t>15.00</w:t>
            </w:r>
          </w:p>
        </w:tc>
        <w:tc>
          <w:tcPr>
            <w:tcW w:w="947"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eastAsiaTheme="minorEastAsia"/>
                <w:kern w:val="0"/>
                <w:sz w:val="24"/>
                <w:szCs w:val="24"/>
                <w:lang w:val="en-US" w:eastAsia="zh-CN" w:bidi="ar-SA"/>
              </w:rPr>
            </w:pPr>
            <w:r>
              <w:rPr>
                <w:rFonts w:hint="eastAsia" w:ascii="宋体" w:hAnsi="宋体" w:cs="宋体"/>
                <w:color w:val="000000"/>
                <w:kern w:val="0"/>
                <w:sz w:val="24"/>
                <w:szCs w:val="24"/>
                <w:lang w:val="en-US" w:eastAsia="zh-CN" w:bidi="ar"/>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65" w:type="pct"/>
            <w:noWrap/>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084" w:type="pct"/>
            <w:noWrap w:val="0"/>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合计</w:t>
            </w:r>
          </w:p>
        </w:tc>
        <w:tc>
          <w:tcPr>
            <w:tcW w:w="676"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rPr>
            </w:pP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rPr>
            </w:pP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color w:val="000000"/>
                <w:kern w:val="0"/>
                <w:sz w:val="24"/>
                <w:szCs w:val="24"/>
              </w:rPr>
            </w:pPr>
          </w:p>
        </w:tc>
        <w:tc>
          <w:tcPr>
            <w:tcW w:w="835"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947"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eastAsiaTheme="minorEastAsia"/>
                <w:color w:val="000000"/>
                <w:kern w:val="0"/>
                <w:sz w:val="24"/>
                <w:szCs w:val="24"/>
                <w:lang w:val="en-US" w:eastAsia="zh-CN" w:bidi="ar"/>
              </w:rPr>
            </w:pPr>
            <w:r>
              <w:rPr>
                <w:rFonts w:hint="eastAsia" w:ascii="宋体" w:hAnsi="宋体" w:cs="宋体"/>
                <w:color w:val="000000"/>
                <w:kern w:val="0"/>
                <w:sz w:val="24"/>
                <w:szCs w:val="24"/>
                <w:lang w:val="en-US" w:eastAsia="zh-CN" w:bidi="ar"/>
              </w:rPr>
              <w:t>169500.00</w:t>
            </w:r>
          </w:p>
        </w:tc>
      </w:tr>
    </w:tbl>
    <w:p>
      <w:pPr>
        <w:keepNext w:val="0"/>
        <w:keepLines w:val="0"/>
        <w:pageBreakBefore w:val="0"/>
        <w:numPr>
          <w:ilvl w:val="0"/>
          <w:numId w:val="1"/>
        </w:numPr>
        <w:kinsoku/>
        <w:wordWrap/>
        <w:overflowPunct/>
        <w:topLinePunct w:val="0"/>
        <w:autoSpaceDE/>
        <w:autoSpaceDN/>
        <w:bidi w:val="0"/>
        <w:adjustRightInd/>
        <w:snapToGrid/>
        <w:spacing w:line="360" w:lineRule="auto"/>
        <w:rPr>
          <w:rFonts w:hint="eastAsia" w:asciiTheme="minorEastAsia" w:hAnsiTheme="minorEastAsia"/>
          <w:b/>
          <w:sz w:val="24"/>
          <w:szCs w:val="24"/>
          <w:lang w:eastAsia="zh-CN"/>
        </w:rPr>
      </w:pPr>
      <w:r>
        <w:rPr>
          <w:rFonts w:hint="eastAsia" w:asciiTheme="minorEastAsia" w:hAnsiTheme="minorEastAsia"/>
          <w:b/>
          <w:sz w:val="24"/>
          <w:szCs w:val="24"/>
          <w:lang w:eastAsia="zh-CN"/>
        </w:rPr>
        <w:t>服务及</w:t>
      </w:r>
      <w:r>
        <w:rPr>
          <w:rFonts w:hint="eastAsia" w:asciiTheme="minorEastAsia" w:hAnsiTheme="minorEastAsia"/>
          <w:b/>
          <w:sz w:val="24"/>
          <w:szCs w:val="24"/>
          <w:lang w:val="en-US" w:eastAsia="zh-CN"/>
        </w:rPr>
        <w:t>其他</w:t>
      </w:r>
      <w:r>
        <w:rPr>
          <w:rFonts w:hint="eastAsia" w:asciiTheme="minorEastAsia" w:hAnsiTheme="minorEastAsia"/>
          <w:b/>
          <w:sz w:val="24"/>
          <w:szCs w:val="24"/>
          <w:lang w:eastAsia="zh-CN"/>
        </w:rPr>
        <w:t>要求</w:t>
      </w:r>
    </w:p>
    <w:p>
      <w:pPr>
        <w:pStyle w:val="2"/>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1.</w:t>
      </w:r>
      <w:r>
        <w:rPr>
          <w:rFonts w:hint="eastAsia" w:asciiTheme="minorEastAsia" w:hAnsiTheme="minorEastAsia" w:eastAsiaTheme="minorEastAsia" w:cstheme="minorBidi"/>
          <w:kern w:val="2"/>
          <w:sz w:val="24"/>
          <w:szCs w:val="24"/>
          <w:lang w:val="en-US" w:eastAsia="zh-CN" w:bidi="ar-SA"/>
        </w:rPr>
        <w:t>供应商提供的货物清单必须与采购物资相符且在规定有效期内(送达采购单位的有效期不得少于三分之二)，且包装整洁无污染。</w:t>
      </w:r>
    </w:p>
    <w:p>
      <w:pPr>
        <w:pStyle w:val="2"/>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2.</w:t>
      </w:r>
      <w:r>
        <w:rPr>
          <w:rFonts w:hint="eastAsia" w:asciiTheme="minorEastAsia" w:hAnsiTheme="minorEastAsia" w:eastAsiaTheme="minorEastAsia" w:cstheme="minorBidi"/>
          <w:kern w:val="2"/>
          <w:sz w:val="24"/>
          <w:szCs w:val="24"/>
          <w:lang w:val="en-US" w:eastAsia="zh-CN" w:bidi="ar-SA"/>
        </w:rPr>
        <w:t>供应商所提供产品必须符合或优于国家(行业)标准</w:t>
      </w:r>
      <w:r>
        <w:rPr>
          <w:rFonts w:hint="eastAsia" w:asciiTheme="minorEastAsia" w:hAnsiTheme="minorEastAsia" w:cstheme="minorBidi"/>
          <w:b w:val="0"/>
          <w:bCs w:val="0"/>
          <w:kern w:val="2"/>
          <w:sz w:val="24"/>
          <w:szCs w:val="24"/>
          <w:lang w:val="en-US" w:eastAsia="zh-CN" w:bidi="ar-SA"/>
        </w:rPr>
        <w:t>，若中选后标准有更新，应及时提供新标准的检测报告。</w:t>
      </w:r>
      <w:r>
        <w:rPr>
          <w:rFonts w:hint="eastAsia" w:asciiTheme="minorEastAsia" w:hAnsiTheme="minorEastAsia" w:cstheme="minorBidi"/>
          <w:b/>
          <w:bCs/>
          <w:color w:val="auto"/>
          <w:kern w:val="2"/>
          <w:sz w:val="24"/>
          <w:szCs w:val="24"/>
          <w:lang w:val="en-US" w:eastAsia="zh-CN" w:bidi="ar-SA"/>
        </w:rPr>
        <w:t>（提供所投产品的水质检测报告（最新标准）并加盖供应商公章）</w:t>
      </w:r>
    </w:p>
    <w:p>
      <w:pPr>
        <w:pStyle w:val="2"/>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3.</w:t>
      </w:r>
      <w:r>
        <w:rPr>
          <w:rFonts w:hint="eastAsia" w:asciiTheme="minorEastAsia" w:hAnsiTheme="minorEastAsia" w:eastAsiaTheme="minorEastAsia" w:cstheme="minorBidi"/>
          <w:kern w:val="2"/>
          <w:sz w:val="24"/>
          <w:szCs w:val="24"/>
          <w:lang w:val="en-US" w:eastAsia="zh-CN" w:bidi="ar-SA"/>
        </w:rPr>
        <w:t>交货验收时每件货物上均应有产品质量检验合格标志。</w:t>
      </w:r>
    </w:p>
    <w:p>
      <w:pPr>
        <w:pStyle w:val="2"/>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4.</w:t>
      </w:r>
      <w:r>
        <w:rPr>
          <w:rFonts w:hint="eastAsia" w:asciiTheme="minorEastAsia" w:hAnsiTheme="minorEastAsia" w:eastAsiaTheme="minorEastAsia" w:cstheme="minorBidi"/>
          <w:kern w:val="2"/>
          <w:sz w:val="24"/>
          <w:szCs w:val="24"/>
          <w:lang w:val="en-US" w:eastAsia="zh-CN" w:bidi="ar-SA"/>
        </w:rPr>
        <w:t>供应商及其所供应的物资须符合食品安全法、食品卫生法及其他行政法律、法规规定的相关要求。</w:t>
      </w:r>
    </w:p>
    <w:p>
      <w:pPr>
        <w:pStyle w:val="2"/>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5.</w:t>
      </w:r>
      <w:r>
        <w:rPr>
          <w:rFonts w:hint="eastAsia" w:asciiTheme="minorEastAsia" w:hAnsiTheme="minorEastAsia" w:eastAsiaTheme="minorEastAsia" w:cstheme="minorBidi"/>
          <w:kern w:val="2"/>
          <w:sz w:val="24"/>
          <w:szCs w:val="24"/>
          <w:lang w:val="en-US" w:eastAsia="zh-CN" w:bidi="ar-SA"/>
        </w:rPr>
        <w:t>供应商须提供</w:t>
      </w:r>
      <w:r>
        <w:rPr>
          <w:rFonts w:hint="eastAsia" w:asciiTheme="minorEastAsia" w:hAnsiTheme="minorEastAsia" w:cstheme="minorBidi"/>
          <w:kern w:val="2"/>
          <w:sz w:val="24"/>
          <w:szCs w:val="24"/>
          <w:lang w:val="en-US" w:eastAsia="zh-CN" w:bidi="ar-SA"/>
        </w:rPr>
        <w:t>提供</w:t>
      </w:r>
      <w:r>
        <w:rPr>
          <w:rFonts w:hint="eastAsia" w:asciiTheme="minorEastAsia" w:hAnsiTheme="minorEastAsia" w:eastAsiaTheme="minorEastAsia" w:cstheme="minorBidi"/>
          <w:kern w:val="2"/>
          <w:sz w:val="24"/>
          <w:szCs w:val="24"/>
          <w:lang w:val="en-US" w:eastAsia="zh-CN" w:bidi="ar-SA"/>
        </w:rPr>
        <w:t>周转桶及用水点位饮水机，并负责饮水机每季度清洗一次。</w:t>
      </w:r>
    </w:p>
    <w:p>
      <w:pPr>
        <w:pStyle w:val="2"/>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6.供应商应为指派专职人员配送。</w:t>
      </w:r>
    </w:p>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7.</w:t>
      </w:r>
      <w:r>
        <w:rPr>
          <w:rFonts w:hint="eastAsia" w:asciiTheme="minorEastAsia" w:hAnsiTheme="minorEastAsia" w:eastAsiaTheme="minorEastAsia" w:cstheme="minorBidi"/>
          <w:kern w:val="2"/>
          <w:sz w:val="24"/>
          <w:szCs w:val="24"/>
          <w:lang w:val="en-US" w:eastAsia="zh-CN" w:bidi="ar-SA"/>
        </w:rPr>
        <w:t>供应商应在接到采购人需求通知后</w:t>
      </w:r>
      <w:r>
        <w:rPr>
          <w:rFonts w:hint="eastAsia" w:asciiTheme="minorEastAsia" w:hAnsiTheme="minorEastAsia" w:cstheme="minorBidi"/>
          <w:kern w:val="2"/>
          <w:sz w:val="24"/>
          <w:szCs w:val="24"/>
          <w:lang w:val="en-US" w:eastAsia="zh-CN" w:bidi="ar-SA"/>
        </w:rPr>
        <w:t>2</w:t>
      </w:r>
      <w:r>
        <w:rPr>
          <w:rFonts w:hint="eastAsia" w:asciiTheme="minorEastAsia" w:hAnsiTheme="minorEastAsia" w:eastAsiaTheme="minorEastAsia" w:cstheme="minorBidi"/>
          <w:kern w:val="2"/>
          <w:sz w:val="24"/>
          <w:szCs w:val="24"/>
          <w:lang w:val="en-US" w:eastAsia="zh-CN" w:bidi="ar-SA"/>
        </w:rPr>
        <w:t>小时内送货到达目的地。</w:t>
      </w:r>
    </w:p>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8.</w:t>
      </w:r>
      <w:r>
        <w:rPr>
          <w:rFonts w:hint="eastAsia" w:asciiTheme="minorEastAsia" w:hAnsiTheme="minorEastAsia" w:eastAsiaTheme="minorEastAsia" w:cstheme="minorBidi"/>
          <w:kern w:val="2"/>
          <w:sz w:val="24"/>
          <w:szCs w:val="24"/>
          <w:lang w:val="en-US" w:eastAsia="zh-CN" w:bidi="ar-SA"/>
        </w:rPr>
        <w:t>履约时间内</w:t>
      </w:r>
      <w:r>
        <w:rPr>
          <w:rFonts w:hint="eastAsia" w:asciiTheme="minorEastAsia" w:hAnsi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t>供应商应提供7×24小时(每周7日×24小时)电话支持。</w:t>
      </w:r>
    </w:p>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9.履约时间内，除采购单位人为因素外，供应商应保证货物不出现任何质量问题，若在保质期内出现质量问题，则供应商应在采购人要求的期限内予以免费更换。</w:t>
      </w:r>
    </w:p>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10.货物经供应商3次更换仍不能达到本合同约定的质量标准，视作供应商不能交付货物而违约，由供应商承担违约责任。</w:t>
      </w:r>
    </w:p>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11.供应商保证本项目全部物资库存均齐备、能保障充足供应，若因产品升级更新等原因不能保障供应造成采购人损失的，供应商承担全部赔偿责任。</w:t>
      </w:r>
    </w:p>
    <w:p>
      <w:pPr>
        <w:spacing w:line="360" w:lineRule="auto"/>
        <w:rPr>
          <w:rFonts w:hint="eastAsia" w:cs="宋体-18030" w:asciiTheme="minorEastAsia" w:hAnsiTheme="minorEastAsia"/>
          <w:b/>
          <w:kern w:val="0"/>
          <w:sz w:val="24"/>
          <w:lang w:val="en-US" w:eastAsia="zh-CN"/>
        </w:rPr>
      </w:pPr>
      <w:r>
        <w:rPr>
          <w:rFonts w:hint="eastAsia" w:cs="宋体-18030" w:asciiTheme="minorEastAsia" w:hAnsiTheme="minorEastAsia"/>
          <w:b/>
          <w:kern w:val="0"/>
          <w:sz w:val="24"/>
          <w:lang w:val="en-US" w:eastAsia="zh-CN"/>
        </w:rPr>
        <w:t>三、商务</w:t>
      </w:r>
      <w:r>
        <w:rPr>
          <w:rFonts w:hint="eastAsia" w:cs="宋体-18030" w:asciiTheme="minorEastAsia" w:hAnsiTheme="minorEastAsia"/>
          <w:b/>
          <w:kern w:val="0"/>
          <w:sz w:val="24"/>
          <w:lang w:val="zh-CN" w:eastAsia="zh-CN"/>
        </w:rPr>
        <w:t>要求</w:t>
      </w:r>
    </w:p>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w:t>
      </w:r>
      <w:r>
        <w:rPr>
          <w:rFonts w:hint="eastAsia" w:asciiTheme="minorEastAsia" w:hAnsiTheme="minorEastAsia"/>
          <w:sz w:val="24"/>
          <w:szCs w:val="24"/>
        </w:rPr>
        <w:t>合同签订时间：成交公告公示结束后30日内</w:t>
      </w:r>
      <w:r>
        <w:rPr>
          <w:rFonts w:hint="eastAsia" w:asciiTheme="minorEastAsia" w:hAnsiTheme="minorEastAsia"/>
          <w:sz w:val="24"/>
          <w:szCs w:val="24"/>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2</w:t>
      </w:r>
      <w:r>
        <w:rPr>
          <w:rFonts w:hint="eastAsia" w:asciiTheme="minorEastAsia" w:hAnsiTheme="minorEastAsia"/>
          <w:sz w:val="24"/>
          <w:szCs w:val="24"/>
          <w:lang w:val="en-US" w:eastAsia="zh-CN"/>
        </w:rPr>
        <w:t>.</w:t>
      </w:r>
      <w:r>
        <w:rPr>
          <w:rFonts w:hint="eastAsia" w:asciiTheme="minorEastAsia" w:hAnsiTheme="minorEastAsia"/>
          <w:sz w:val="24"/>
          <w:szCs w:val="24"/>
        </w:rPr>
        <w:t>合同履行时间：合同签订后一年内，按采购人供货</w:t>
      </w:r>
      <w:r>
        <w:rPr>
          <w:rFonts w:hint="eastAsia" w:asciiTheme="minorEastAsia" w:hAnsiTheme="minorEastAsia"/>
          <w:sz w:val="24"/>
          <w:szCs w:val="24"/>
          <w:lang w:val="en-US" w:eastAsia="zh-CN"/>
        </w:rPr>
        <w:t>需求</w:t>
      </w:r>
      <w:r>
        <w:rPr>
          <w:rFonts w:hint="eastAsia" w:asciiTheme="minorEastAsia" w:hAnsiTheme="minorEastAsia"/>
          <w:sz w:val="24"/>
          <w:szCs w:val="24"/>
        </w:rPr>
        <w:t>分批次完成</w:t>
      </w:r>
      <w:r>
        <w:rPr>
          <w:rFonts w:hint="eastAsia" w:asciiTheme="minorEastAsia" w:hAnsiTheme="minorEastAsia"/>
          <w:sz w:val="24"/>
          <w:szCs w:val="24"/>
          <w:lang w:eastAsia="zh-CN"/>
        </w:rPr>
        <w:t>。</w:t>
      </w:r>
    </w:p>
    <w:p>
      <w:pPr>
        <w:keepNext w:val="0"/>
        <w:keepLines w:val="0"/>
        <w:pageBreakBefore w:val="0"/>
        <w:kinsoku/>
        <w:wordWrap/>
        <w:overflowPunct/>
        <w:topLinePunct w:val="0"/>
        <w:autoSpaceDE/>
        <w:autoSpaceDN/>
        <w:bidi w:val="0"/>
        <w:adjustRightInd/>
        <w:snapToGrid/>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3</w:t>
      </w:r>
      <w:r>
        <w:rPr>
          <w:rFonts w:hint="eastAsia" w:asciiTheme="minorEastAsia" w:hAnsiTheme="minorEastAsia"/>
          <w:sz w:val="24"/>
          <w:szCs w:val="24"/>
          <w:lang w:val="en-US" w:eastAsia="zh-CN"/>
        </w:rPr>
        <w:t>.交货地点</w:t>
      </w:r>
      <w:r>
        <w:rPr>
          <w:rFonts w:hint="eastAsia" w:asciiTheme="minorEastAsia" w:hAnsiTheme="minorEastAsia"/>
          <w:sz w:val="24"/>
          <w:szCs w:val="24"/>
        </w:rPr>
        <w:t>：</w:t>
      </w:r>
      <w:r>
        <w:rPr>
          <w:rFonts w:hint="eastAsia" w:asciiTheme="minorEastAsia" w:hAnsiTheme="minorEastAsia"/>
          <w:sz w:val="24"/>
          <w:szCs w:val="24"/>
          <w:lang w:val="en-US" w:eastAsia="zh-CN"/>
        </w:rPr>
        <w:t>采购人指定地点。</w:t>
      </w:r>
    </w:p>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r>
        <w:rPr>
          <w:rFonts w:hint="eastAsia" w:asciiTheme="minorEastAsia" w:hAnsiTheme="minorEastAsia"/>
          <w:sz w:val="24"/>
          <w:szCs w:val="24"/>
        </w:rPr>
        <w:t>履约验收：采购人按照《财政部关于进一步加强政府采购需求和履约验收管理的指导意见》（财库〔2016〕205号）要求组织履约验收</w:t>
      </w:r>
      <w:r>
        <w:rPr>
          <w:rFonts w:hint="eastAsia" w:asciiTheme="minorEastAsia" w:hAnsiTheme="minorEastAsia"/>
          <w:sz w:val="24"/>
          <w:szCs w:val="24"/>
          <w:lang w:eastAsia="zh-CN"/>
        </w:rPr>
        <w:t>。</w:t>
      </w:r>
    </w:p>
    <w:p>
      <w:pPr>
        <w:keepNext w:val="0"/>
        <w:keepLines w:val="0"/>
        <w:pageBreakBefore w:val="0"/>
        <w:kinsoku/>
        <w:wordWrap/>
        <w:overflowPunct/>
        <w:topLinePunct w:val="0"/>
        <w:autoSpaceDE/>
        <w:autoSpaceDN/>
        <w:bidi w:val="0"/>
        <w:adjustRightInd/>
        <w:snapToGrid/>
        <w:spacing w:before="156" w:after="156" w:line="360" w:lineRule="auto"/>
        <w:textAlignment w:val="baseline"/>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5.</w:t>
      </w:r>
      <w:r>
        <w:rPr>
          <w:rFonts w:hint="eastAsia" w:asciiTheme="minorEastAsia" w:hAnsiTheme="minorEastAsia"/>
          <w:sz w:val="24"/>
          <w:szCs w:val="24"/>
        </w:rPr>
        <w:t>付款时间：</w:t>
      </w:r>
      <w:r>
        <w:rPr>
          <w:rFonts w:hint="eastAsia" w:asciiTheme="minorEastAsia" w:hAnsiTheme="minorEastAsia"/>
          <w:sz w:val="24"/>
          <w:szCs w:val="24"/>
          <w:lang w:val="en-US" w:eastAsia="zh-CN"/>
        </w:rPr>
        <w:t>按季度付款，据实结算。</w:t>
      </w:r>
      <w:r>
        <w:rPr>
          <w:rFonts w:hint="eastAsia" w:asciiTheme="minorEastAsia" w:hAnsiTheme="minorEastAsia"/>
          <w:sz w:val="24"/>
          <w:szCs w:val="24"/>
        </w:rPr>
        <w:t>货物按采购人供货</w:t>
      </w:r>
      <w:r>
        <w:rPr>
          <w:rFonts w:hint="eastAsia" w:asciiTheme="minorEastAsia" w:hAnsiTheme="minorEastAsia"/>
          <w:sz w:val="24"/>
          <w:szCs w:val="24"/>
          <w:lang w:val="en-US" w:eastAsia="zh-CN"/>
        </w:rPr>
        <w:t>需求</w:t>
      </w:r>
      <w:r>
        <w:rPr>
          <w:rFonts w:hint="eastAsia" w:asciiTheme="minorEastAsia" w:hAnsiTheme="minorEastAsia"/>
          <w:sz w:val="24"/>
          <w:szCs w:val="24"/>
        </w:rPr>
        <w:t>分批次到达交货地点验收合格</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采购人</w:t>
      </w:r>
      <w:r>
        <w:rPr>
          <w:rFonts w:hint="eastAsia" w:asciiTheme="minorEastAsia" w:hAnsiTheme="minorEastAsia"/>
          <w:sz w:val="24"/>
          <w:szCs w:val="24"/>
          <w:lang w:eastAsia="zh-CN"/>
        </w:rPr>
        <w:t>收到成交供应商提供的合法有效完税发票</w:t>
      </w:r>
      <w:r>
        <w:rPr>
          <w:rFonts w:hint="eastAsia" w:asciiTheme="minorEastAsia" w:hAnsiTheme="minorEastAsia"/>
          <w:sz w:val="24"/>
          <w:szCs w:val="24"/>
          <w:lang w:val="en-US" w:eastAsia="zh-CN"/>
        </w:rPr>
        <w:t>及相应资料</w:t>
      </w:r>
      <w:r>
        <w:rPr>
          <w:rFonts w:hint="eastAsia" w:asciiTheme="minorEastAsia" w:hAnsiTheme="minorEastAsia"/>
          <w:sz w:val="24"/>
          <w:szCs w:val="24"/>
          <w:lang w:eastAsia="zh-CN"/>
        </w:rPr>
        <w:t>并完善财务手续后，</w:t>
      </w:r>
      <w:r>
        <w:rPr>
          <w:rFonts w:hint="eastAsia" w:asciiTheme="minorEastAsia" w:hAnsiTheme="minorEastAsia"/>
          <w:sz w:val="24"/>
          <w:szCs w:val="24"/>
        </w:rPr>
        <w:t>30个工作日内转账支付</w:t>
      </w:r>
      <w:r>
        <w:rPr>
          <w:rFonts w:hint="eastAsia" w:asciiTheme="minorEastAsia" w:hAnsiTheme="minorEastAsia"/>
          <w:sz w:val="24"/>
          <w:szCs w:val="24"/>
          <w:lang w:eastAsia="zh-CN"/>
        </w:rPr>
        <w:t>上季度</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货款</w:t>
      </w:r>
      <w:r>
        <w:rPr>
          <w:rFonts w:hint="eastAsia" w:asciiTheme="minorEastAsia" w:hAnsiTheme="minorEastAsia"/>
          <w:sz w:val="24"/>
          <w:szCs w:val="24"/>
        </w:rPr>
        <w:t>（如产品出现质量问题则支付期相应顺延）</w:t>
      </w:r>
      <w:r>
        <w:rPr>
          <w:rFonts w:hint="eastAsia" w:asciiTheme="minorEastAsia" w:hAnsiTheme="minorEastAsia"/>
          <w:sz w:val="24"/>
          <w:szCs w:val="24"/>
          <w:lang w:eastAsia="zh-CN"/>
        </w:rPr>
        <w:t>。</w:t>
      </w:r>
    </w:p>
    <w:p>
      <w:pPr>
        <w:keepNext w:val="0"/>
        <w:keepLines w:val="0"/>
        <w:pageBreakBefore w:val="0"/>
        <w:kinsoku/>
        <w:wordWrap/>
        <w:overflowPunct/>
        <w:topLinePunct w:val="0"/>
        <w:autoSpaceDE/>
        <w:autoSpaceDN/>
        <w:bidi w:val="0"/>
        <w:adjustRightInd/>
        <w:snapToGrid/>
        <w:spacing w:before="156" w:after="156" w:line="360" w:lineRule="auto"/>
        <w:textAlignment w:val="baseline"/>
      </w:pPr>
      <w:r>
        <w:rPr>
          <w:rFonts w:hint="eastAsia" w:asciiTheme="minorEastAsia" w:hAnsiTheme="minorEastAsia"/>
          <w:b/>
          <w:bCs/>
          <w:sz w:val="24"/>
          <w:szCs w:val="24"/>
        </w:rPr>
        <w:t>注：</w:t>
      </w:r>
      <w:r>
        <w:rPr>
          <w:rFonts w:hint="eastAsia" w:asciiTheme="minorEastAsia" w:hAnsiTheme="minorEastAsia"/>
          <w:sz w:val="24"/>
          <w:szCs w:val="24"/>
        </w:rPr>
        <w:t>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en-US" w:eastAsia="zh-CN"/>
        </w:rPr>
        <w:t>四</w:t>
      </w:r>
      <w:r>
        <w:rPr>
          <w:rFonts w:hint="eastAsia" w:cs="宋体-18030" w:asciiTheme="minorEastAsia" w:hAnsiTheme="minorEastAsia"/>
          <w:b/>
          <w:kern w:val="0"/>
          <w:sz w:val="24"/>
          <w:lang w:val="zh-CN"/>
        </w:rPr>
        <w:t>、供应商资格要求及证明材料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具有国家行政主管部门颁发且在有效期内的《食品经营许可证》（主体业态包含：食品销售经营者）或县级以上地方人民政府食品安全监督管理部门备案销售预包装食品的证明材料</w:t>
      </w:r>
      <w:r>
        <w:rPr>
          <w:rFonts w:hint="eastAsia" w:asciiTheme="minorEastAsia" w:hAnsiTheme="minorEastAsia"/>
          <w:kern w:val="0"/>
          <w:sz w:val="24"/>
          <w:lang w:eastAsia="zh-CN"/>
        </w:rPr>
        <w:t>（</w:t>
      </w:r>
      <w:r>
        <w:rPr>
          <w:rFonts w:hint="eastAsia" w:asciiTheme="minorEastAsia" w:hAnsiTheme="minorEastAsia"/>
          <w:kern w:val="0"/>
          <w:sz w:val="24"/>
          <w:lang w:val="en-US" w:eastAsia="zh-CN"/>
        </w:rPr>
        <w:t>提供复印件</w:t>
      </w:r>
      <w:r>
        <w:rPr>
          <w:rFonts w:hint="eastAsia" w:asciiTheme="minorEastAsia" w:hAnsiTheme="minorEastAsia"/>
          <w:kern w:val="0"/>
          <w:sz w:val="24"/>
          <w:lang w:eastAsia="zh-CN"/>
        </w:rPr>
        <w:t>）</w:t>
      </w:r>
      <w:r>
        <w:rPr>
          <w:rFonts w:hint="eastAsia" w:asciiTheme="minorEastAsia" w:hAnsiTheme="minorEastAsia"/>
          <w:kern w:val="0"/>
          <w:sz w:val="24"/>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val="en-US" w:eastAsia="zh-CN"/>
        </w:rPr>
        <w:t>五</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val="en-US"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2024</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04</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22</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bookmarkStart w:id="1" w:name="_GoBack"/>
      <w:bookmarkEnd w:id="1"/>
      <w:r>
        <w:rPr>
          <w:rFonts w:hint="eastAsia" w:cs="宋体-18030" w:asciiTheme="minorEastAsia" w:hAnsiTheme="minorEastAsia"/>
          <w:kern w:val="0"/>
          <w:sz w:val="24"/>
        </w:rPr>
        <w:t>（北京时间）。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3.逾</w:t>
      </w:r>
      <w:r>
        <w:rPr>
          <w:rFonts w:hint="eastAsia" w:cs="宋体-18030" w:asciiTheme="minorEastAsia" w:hAnsiTheme="minorEastAsia"/>
          <w:b w:val="0"/>
          <w:bCs w:val="0"/>
          <w:color w:val="auto"/>
          <w:kern w:val="0"/>
          <w:sz w:val="24"/>
        </w:rPr>
        <w:t>期送达或者未送达指定</w:t>
      </w:r>
      <w:r>
        <w:rPr>
          <w:rFonts w:hint="eastAsia" w:cs="宋体-18030" w:asciiTheme="minorEastAsia" w:hAnsiTheme="minorEastAsia"/>
          <w:color w:val="auto"/>
          <w:kern w:val="0"/>
          <w:sz w:val="24"/>
        </w:rPr>
        <w:t>地点的响应文件，采购人不予受理。</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val="en-US" w:eastAsia="zh-CN"/>
        </w:rPr>
        <w:t>七</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lang w:val="en-US" w:eastAsia="zh-CN"/>
        </w:rPr>
        <w:t>028-26346672</w:t>
      </w: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en-US" w:eastAsia="zh-CN"/>
        </w:rPr>
        <w:t>八</w:t>
      </w:r>
      <w:r>
        <w:rPr>
          <w:rFonts w:hint="eastAsia" w:cs="宋体-18030" w:asciiTheme="minorEastAsia" w:hAnsiTheme="minorEastAsia"/>
          <w:b/>
          <w:kern w:val="0"/>
          <w:sz w:val="24"/>
          <w:lang w:val="zh-CN"/>
        </w:rPr>
        <w:t>、</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一、报价表（金额单位：元）</w:t>
      </w:r>
    </w:p>
    <w:tbl>
      <w:tblPr>
        <w:tblStyle w:val="8"/>
        <w:tblW w:w="52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50"/>
        <w:gridCol w:w="1140"/>
        <w:gridCol w:w="825"/>
        <w:gridCol w:w="975"/>
        <w:gridCol w:w="1200"/>
        <w:gridCol w:w="128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2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91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634" w:type="pct"/>
            <w:vAlign w:val="center"/>
          </w:tcPr>
          <w:p>
            <w:pPr>
              <w:spacing w:line="360" w:lineRule="auto"/>
              <w:jc w:val="center"/>
              <w:rPr>
                <w:rFonts w:hint="eastAsia" w:cs="宋体-18030" w:asciiTheme="minorEastAsia" w:hAnsiTheme="minorEastAsia" w:eastAsiaTheme="minorEastAsia"/>
                <w:kern w:val="0"/>
                <w:sz w:val="24"/>
                <w:lang w:val="zh-CN" w:eastAsia="zh-CN"/>
              </w:rPr>
            </w:pPr>
            <w:r>
              <w:rPr>
                <w:rFonts w:hint="eastAsia" w:cs="宋体-18030" w:asciiTheme="minorEastAsia" w:hAnsiTheme="minorEastAsia"/>
                <w:kern w:val="0"/>
                <w:sz w:val="24"/>
                <w:lang w:val="en-US" w:eastAsia="zh-CN"/>
              </w:rPr>
              <w:t>规格</w:t>
            </w:r>
          </w:p>
        </w:tc>
        <w:tc>
          <w:tcPr>
            <w:tcW w:w="45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54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66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714"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642"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2" w:type="pct"/>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sz w:val="24"/>
                <w:szCs w:val="24"/>
              </w:rPr>
              <w:t>1</w:t>
            </w:r>
          </w:p>
        </w:tc>
        <w:tc>
          <w:tcPr>
            <w:tcW w:w="917" w:type="pct"/>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sz w:val="24"/>
                <w:szCs w:val="24"/>
              </w:rPr>
              <w:t>桶装饮用水</w:t>
            </w:r>
            <w:r>
              <w:rPr>
                <w:rFonts w:hint="eastAsia" w:ascii="宋体" w:hAnsi="宋体" w:eastAsia="宋体" w:cs="宋体"/>
                <w:color w:val="auto"/>
                <w:sz w:val="24"/>
                <w:szCs w:val="24"/>
                <w:lang w:val="en-US" w:eastAsia="zh-CN"/>
              </w:rPr>
              <w:t>1</w:t>
            </w:r>
          </w:p>
        </w:tc>
        <w:tc>
          <w:tcPr>
            <w:tcW w:w="634"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cs="宋体-18030" w:asciiTheme="minorEastAsia" w:hAnsiTheme="minorEastAsia"/>
                <w:kern w:val="0"/>
                <w:sz w:val="24"/>
                <w:lang w:val="zh-CN"/>
              </w:rPr>
            </w:pPr>
            <w:r>
              <w:rPr>
                <w:rFonts w:hint="eastAsia" w:ascii="Times New Roman" w:hAnsi="Times New Roman" w:eastAsia="仿宋" w:cs="仿宋"/>
                <w:kern w:val="0"/>
                <w:sz w:val="24"/>
                <w:szCs w:val="24"/>
              </w:rPr>
              <w:t>18.9</w:t>
            </w:r>
            <w:r>
              <w:rPr>
                <w:rFonts w:hint="eastAsia" w:ascii="Times New Roman" w:hAnsi="Times New Roman" w:eastAsia="仿宋" w:cs="仿宋"/>
                <w:kern w:val="0"/>
                <w:sz w:val="24"/>
                <w:szCs w:val="24"/>
                <w:lang w:val="en-US" w:eastAsia="zh-CN"/>
              </w:rPr>
              <w:t xml:space="preserve"> L</w:t>
            </w:r>
          </w:p>
        </w:tc>
        <w:tc>
          <w:tcPr>
            <w:tcW w:w="458"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4"/>
                <w:szCs w:val="24"/>
                <w:lang w:val="en-US" w:eastAsia="zh-CN"/>
              </w:rPr>
              <w:t>桶</w:t>
            </w:r>
          </w:p>
        </w:tc>
        <w:tc>
          <w:tcPr>
            <w:tcW w:w="542"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宋体" w:hAnsi="宋体" w:cs="宋体" w:eastAsiaTheme="minorEastAsia"/>
                <w:color w:val="000000"/>
                <w:kern w:val="0"/>
                <w:sz w:val="24"/>
                <w:szCs w:val="22"/>
                <w:lang w:val="en-US" w:eastAsia="zh-CN" w:bidi="ar-SA"/>
              </w:rPr>
            </w:pP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000</w:t>
            </w:r>
          </w:p>
        </w:tc>
        <w:tc>
          <w:tcPr>
            <w:tcW w:w="667"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cs="宋体-18030" w:asciiTheme="minorEastAsia" w:hAnsiTheme="minorEastAsia"/>
                <w:kern w:val="0"/>
                <w:sz w:val="24"/>
                <w:lang w:val="zh-CN"/>
              </w:rPr>
            </w:pPr>
          </w:p>
        </w:tc>
        <w:tc>
          <w:tcPr>
            <w:tcW w:w="714"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cs="宋体-18030" w:asciiTheme="minorEastAsia" w:hAnsiTheme="minorEastAsia"/>
                <w:kern w:val="0"/>
                <w:sz w:val="24"/>
                <w:lang w:val="zh-CN"/>
              </w:rPr>
            </w:pPr>
          </w:p>
        </w:tc>
        <w:tc>
          <w:tcPr>
            <w:tcW w:w="642" w:type="pct"/>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2" w:type="pct"/>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sz w:val="24"/>
                <w:szCs w:val="24"/>
              </w:rPr>
              <w:t>2</w:t>
            </w:r>
          </w:p>
        </w:tc>
        <w:tc>
          <w:tcPr>
            <w:tcW w:w="917" w:type="pct"/>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sz w:val="24"/>
                <w:szCs w:val="24"/>
              </w:rPr>
              <w:t>桶装饮用水</w:t>
            </w:r>
            <w:r>
              <w:rPr>
                <w:rFonts w:hint="eastAsia" w:ascii="宋体" w:hAnsi="宋体" w:eastAsia="宋体" w:cs="宋体"/>
                <w:color w:val="auto"/>
                <w:sz w:val="24"/>
                <w:szCs w:val="24"/>
                <w:lang w:val="en-US" w:eastAsia="zh-CN"/>
              </w:rPr>
              <w:t>2</w:t>
            </w:r>
          </w:p>
        </w:tc>
        <w:tc>
          <w:tcPr>
            <w:tcW w:w="634"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cs="宋体-18030" w:asciiTheme="minorEastAsia" w:hAnsiTheme="minorEastAsia"/>
                <w:kern w:val="0"/>
                <w:sz w:val="24"/>
                <w:lang w:val="zh-CN"/>
              </w:rPr>
            </w:pPr>
            <w:r>
              <w:rPr>
                <w:rFonts w:hint="eastAsia" w:ascii="Times New Roman" w:hAnsi="Times New Roman" w:eastAsia="仿宋" w:cs="仿宋"/>
                <w:kern w:val="0"/>
                <w:sz w:val="24"/>
                <w:szCs w:val="24"/>
              </w:rPr>
              <w:t>11.3</w:t>
            </w:r>
            <w:r>
              <w:rPr>
                <w:rFonts w:hint="eastAsia" w:ascii="Times New Roman" w:hAnsi="Times New Roman" w:eastAsia="仿宋" w:cs="仿宋"/>
                <w:kern w:val="0"/>
                <w:sz w:val="24"/>
                <w:szCs w:val="24"/>
                <w:lang w:val="en-US" w:eastAsia="zh-CN"/>
              </w:rPr>
              <w:t xml:space="preserve"> L</w:t>
            </w:r>
          </w:p>
        </w:tc>
        <w:tc>
          <w:tcPr>
            <w:tcW w:w="458"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4"/>
                <w:szCs w:val="24"/>
                <w:lang w:val="en-US" w:eastAsia="zh-CN"/>
              </w:rPr>
              <w:t>桶</w:t>
            </w:r>
          </w:p>
        </w:tc>
        <w:tc>
          <w:tcPr>
            <w:tcW w:w="542"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eastAsiaTheme="minorEastAsia"/>
                <w:color w:val="000000"/>
                <w:kern w:val="0"/>
                <w:sz w:val="24"/>
                <w:szCs w:val="22"/>
                <w:lang w:val="zh-CN" w:eastAsia="zh-CN" w:bidi="ar-SA"/>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00</w:t>
            </w:r>
          </w:p>
        </w:tc>
        <w:tc>
          <w:tcPr>
            <w:tcW w:w="667"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cs="宋体-18030" w:asciiTheme="minorEastAsia" w:hAnsiTheme="minorEastAsia"/>
                <w:kern w:val="0"/>
                <w:sz w:val="24"/>
                <w:lang w:val="zh-CN"/>
              </w:rPr>
            </w:pPr>
          </w:p>
        </w:tc>
        <w:tc>
          <w:tcPr>
            <w:tcW w:w="714"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cs="宋体-18030" w:asciiTheme="minorEastAsia" w:hAnsiTheme="minorEastAsia"/>
                <w:kern w:val="0"/>
                <w:sz w:val="24"/>
                <w:lang w:val="zh-CN"/>
              </w:rPr>
            </w:pPr>
          </w:p>
        </w:tc>
        <w:tc>
          <w:tcPr>
            <w:tcW w:w="642" w:type="pct"/>
            <w:vAlign w:val="center"/>
          </w:tcPr>
          <w:p>
            <w:pPr>
              <w:pStyle w:val="2"/>
              <w:keepNext w:val="0"/>
              <w:keepLines w:val="0"/>
              <w:pageBreakBefore w:val="0"/>
              <w:tabs>
                <w:tab w:val="left" w:pos="1500"/>
              </w:tabs>
              <w:kinsoku/>
              <w:wordWrap/>
              <w:overflowPunct/>
              <w:topLinePunct w:val="0"/>
              <w:autoSpaceDE/>
              <w:autoSpaceDN/>
              <w:bidi w:val="0"/>
              <w:adjustRightInd/>
              <w:snapToGri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8"/>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注:</w:t>
      </w:r>
      <w:r>
        <w:rPr>
          <w:rFonts w:hint="eastAsia" w:cs="宋体-18030" w:asciiTheme="minorEastAsia" w:hAnsiTheme="minorEastAsia"/>
          <w:b w:val="0"/>
          <w:bCs w:val="0"/>
          <w:kern w:val="0"/>
          <w:sz w:val="24"/>
          <w:lang w:val="en-US" w:eastAsia="zh-CN"/>
        </w:rPr>
        <w:t>1.所报单价不超过最高单价限价。2.</w:t>
      </w:r>
      <w:r>
        <w:rPr>
          <w:rFonts w:hint="eastAsia" w:cs="宋体-18030" w:asciiTheme="minorEastAsia" w:hAnsiTheme="minorEastAsia"/>
          <w:kern w:val="0"/>
          <w:sz w:val="24"/>
          <w:lang w:val="zh-CN"/>
        </w:rPr>
        <w:t>根据实际供货数量按批次支付。</w:t>
      </w:r>
      <w:r>
        <w:rPr>
          <w:rFonts w:hint="eastAsia" w:cs="宋体-18030" w:asciiTheme="minorEastAsia" w:hAnsiTheme="minorEastAsia"/>
          <w:b w:val="0"/>
          <w:bCs w:val="0"/>
          <w:kern w:val="0"/>
          <w:sz w:val="24"/>
          <w:lang w:val="en-US" w:eastAsia="zh-CN"/>
        </w:rPr>
        <w:t>3.</w:t>
      </w:r>
      <w:r>
        <w:rPr>
          <w:rFonts w:hint="eastAsia" w:cs="宋体-18030" w:asciiTheme="minorEastAsia" w:hAnsiTheme="minorEastAsia"/>
          <w:kern w:val="0"/>
          <w:sz w:val="24"/>
          <w:lang w:val="zh-CN"/>
        </w:rPr>
        <w:t>所报价格是交货地的验收价格，其单价即为履行合同的固定价格。运输、检验、税金和人工等费用均包含在报价中。</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年     月     日   </w:t>
      </w:r>
    </w:p>
    <w:p>
      <w:pPr>
        <w:spacing w:line="4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27786"/>
    <w:multiLevelType w:val="singleLevel"/>
    <w:tmpl w:val="772277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63583"/>
    <w:rsid w:val="00193141"/>
    <w:rsid w:val="001B76C1"/>
    <w:rsid w:val="00203C20"/>
    <w:rsid w:val="002453E4"/>
    <w:rsid w:val="0024691B"/>
    <w:rsid w:val="002479CE"/>
    <w:rsid w:val="00270759"/>
    <w:rsid w:val="00276BFB"/>
    <w:rsid w:val="002A7C37"/>
    <w:rsid w:val="002E77F4"/>
    <w:rsid w:val="00320DF3"/>
    <w:rsid w:val="00326B09"/>
    <w:rsid w:val="00354E2B"/>
    <w:rsid w:val="003C0A6A"/>
    <w:rsid w:val="003C5C58"/>
    <w:rsid w:val="003E0699"/>
    <w:rsid w:val="003F3378"/>
    <w:rsid w:val="004043D0"/>
    <w:rsid w:val="00450892"/>
    <w:rsid w:val="00454348"/>
    <w:rsid w:val="004C6EA1"/>
    <w:rsid w:val="004D3404"/>
    <w:rsid w:val="004E5AB7"/>
    <w:rsid w:val="004E72F3"/>
    <w:rsid w:val="00523AC3"/>
    <w:rsid w:val="00540B9C"/>
    <w:rsid w:val="005579F0"/>
    <w:rsid w:val="00587C1B"/>
    <w:rsid w:val="005A0E35"/>
    <w:rsid w:val="005F623F"/>
    <w:rsid w:val="0063008C"/>
    <w:rsid w:val="0065022F"/>
    <w:rsid w:val="00660B9E"/>
    <w:rsid w:val="006855D4"/>
    <w:rsid w:val="006E4BF3"/>
    <w:rsid w:val="007218F5"/>
    <w:rsid w:val="00764687"/>
    <w:rsid w:val="00766168"/>
    <w:rsid w:val="00786B13"/>
    <w:rsid w:val="007A7A83"/>
    <w:rsid w:val="00824099"/>
    <w:rsid w:val="00833FC7"/>
    <w:rsid w:val="008410AD"/>
    <w:rsid w:val="0088340D"/>
    <w:rsid w:val="00885B5A"/>
    <w:rsid w:val="0089047A"/>
    <w:rsid w:val="008C7816"/>
    <w:rsid w:val="00977209"/>
    <w:rsid w:val="00977AC9"/>
    <w:rsid w:val="009A4FA0"/>
    <w:rsid w:val="009D0A0B"/>
    <w:rsid w:val="009D59FD"/>
    <w:rsid w:val="009E6DF8"/>
    <w:rsid w:val="00A205D4"/>
    <w:rsid w:val="00A5421F"/>
    <w:rsid w:val="00AA749B"/>
    <w:rsid w:val="00AD219D"/>
    <w:rsid w:val="00B5503A"/>
    <w:rsid w:val="00B9636C"/>
    <w:rsid w:val="00BA7C53"/>
    <w:rsid w:val="00BF710E"/>
    <w:rsid w:val="00C10F2B"/>
    <w:rsid w:val="00D76CDB"/>
    <w:rsid w:val="00DE2984"/>
    <w:rsid w:val="00E311D1"/>
    <w:rsid w:val="00E62591"/>
    <w:rsid w:val="00E7392B"/>
    <w:rsid w:val="00E812E1"/>
    <w:rsid w:val="00EB1303"/>
    <w:rsid w:val="00EC5235"/>
    <w:rsid w:val="00F815D3"/>
    <w:rsid w:val="00FE3273"/>
    <w:rsid w:val="00FE4DD7"/>
    <w:rsid w:val="00FE7851"/>
    <w:rsid w:val="00FF34C4"/>
    <w:rsid w:val="00FF3BEE"/>
    <w:rsid w:val="00FF4698"/>
    <w:rsid w:val="050968D3"/>
    <w:rsid w:val="05784AE2"/>
    <w:rsid w:val="05971DAA"/>
    <w:rsid w:val="063620C9"/>
    <w:rsid w:val="066C0B31"/>
    <w:rsid w:val="0B7625FD"/>
    <w:rsid w:val="151B3CF1"/>
    <w:rsid w:val="156C442B"/>
    <w:rsid w:val="164A3328"/>
    <w:rsid w:val="1CE86C7E"/>
    <w:rsid w:val="1F281065"/>
    <w:rsid w:val="275B6CBF"/>
    <w:rsid w:val="2A8C6406"/>
    <w:rsid w:val="33F16905"/>
    <w:rsid w:val="342C36FD"/>
    <w:rsid w:val="361D455A"/>
    <w:rsid w:val="3C9E34DC"/>
    <w:rsid w:val="3FF0557C"/>
    <w:rsid w:val="4E023FB5"/>
    <w:rsid w:val="4E711F34"/>
    <w:rsid w:val="505676E2"/>
    <w:rsid w:val="50576240"/>
    <w:rsid w:val="50863A39"/>
    <w:rsid w:val="555B6681"/>
    <w:rsid w:val="5824088D"/>
    <w:rsid w:val="58CA6D6C"/>
    <w:rsid w:val="590F06B1"/>
    <w:rsid w:val="5BA858A7"/>
    <w:rsid w:val="6185048B"/>
    <w:rsid w:val="61DE7C9B"/>
    <w:rsid w:val="62705B39"/>
    <w:rsid w:val="66156397"/>
    <w:rsid w:val="66F0488D"/>
    <w:rsid w:val="6FB6011E"/>
    <w:rsid w:val="70115646"/>
    <w:rsid w:val="724508DB"/>
    <w:rsid w:val="728039B3"/>
    <w:rsid w:val="733D427B"/>
    <w:rsid w:val="74CB3468"/>
    <w:rsid w:val="79E14D78"/>
    <w:rsid w:val="7D1B02C7"/>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
    <w:autoRedefine/>
    <w:qFormat/>
    <w:uiPriority w:val="99"/>
    <w:pPr>
      <w:spacing w:after="120"/>
    </w:pPr>
    <w:rPr>
      <w:szCs w:val="24"/>
    </w:rPr>
  </w:style>
  <w:style w:type="paragraph" w:styleId="3">
    <w:name w:val="Body Text First Indent"/>
    <w:basedOn w:val="2"/>
    <w:link w:val="22"/>
    <w:autoRedefine/>
    <w:unhideWhenUsed/>
    <w:qFormat/>
    <w:uiPriority w:val="99"/>
    <w:pPr>
      <w:ind w:firstLine="420" w:firstLineChars="100"/>
    </w:pPr>
  </w:style>
  <w:style w:type="paragraph" w:styleId="4">
    <w:name w:val="Normal Indent"/>
    <w:basedOn w:val="1"/>
    <w:link w:val="15"/>
    <w:autoRedefine/>
    <w:qFormat/>
    <w:uiPriority w:val="0"/>
    <w:pPr>
      <w:ind w:firstLine="420" w:firstLineChars="200"/>
    </w:pPr>
    <w:rPr>
      <w:rFonts w:ascii="Times New Roman" w:hAnsi="Times New Roman" w:eastAsia="宋体" w:cs="Times New Roman"/>
      <w:szCs w:val="24"/>
    </w:rPr>
  </w:style>
  <w:style w:type="paragraph" w:styleId="5">
    <w:name w:val="annotation text"/>
    <w:basedOn w:val="1"/>
    <w:link w:val="20"/>
    <w:autoRedefine/>
    <w:semiHidden/>
    <w:unhideWhenUsed/>
    <w:qFormat/>
    <w:uiPriority w:val="99"/>
    <w:pPr>
      <w:jc w:val="left"/>
    </w:pPr>
  </w:style>
  <w:style w:type="paragraph" w:styleId="6">
    <w:name w:val="Balloon Text"/>
    <w:basedOn w:val="1"/>
    <w:link w:val="14"/>
    <w:autoRedefine/>
    <w:semiHidden/>
    <w:unhideWhenUsed/>
    <w:qFormat/>
    <w:uiPriority w:val="99"/>
    <w:rPr>
      <w:sz w:val="18"/>
      <w:szCs w:val="18"/>
    </w:rPr>
  </w:style>
  <w:style w:type="paragraph" w:styleId="7">
    <w:name w:val="annotation subject"/>
    <w:basedOn w:val="5"/>
    <w:next w:val="5"/>
    <w:link w:val="21"/>
    <w:autoRedefine/>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styleId="12">
    <w:name w:val="annotation reference"/>
    <w:basedOn w:val="10"/>
    <w:autoRedefine/>
    <w:semiHidden/>
    <w:unhideWhenUsed/>
    <w:qFormat/>
    <w:uiPriority w:val="99"/>
    <w:rPr>
      <w:sz w:val="21"/>
      <w:szCs w:val="21"/>
    </w:rPr>
  </w:style>
  <w:style w:type="paragraph" w:styleId="13">
    <w:name w:val="List Paragraph"/>
    <w:basedOn w:val="1"/>
    <w:link w:val="16"/>
    <w:autoRedefine/>
    <w:qFormat/>
    <w:uiPriority w:val="0"/>
    <w:pPr>
      <w:ind w:firstLine="420" w:firstLineChars="200"/>
    </w:pPr>
  </w:style>
  <w:style w:type="character" w:customStyle="1" w:styleId="14">
    <w:name w:val="批注框文本 字符"/>
    <w:basedOn w:val="10"/>
    <w:link w:val="6"/>
    <w:autoRedefine/>
    <w:semiHidden/>
    <w:qFormat/>
    <w:uiPriority w:val="99"/>
    <w:rPr>
      <w:sz w:val="18"/>
      <w:szCs w:val="18"/>
    </w:rPr>
  </w:style>
  <w:style w:type="character" w:customStyle="1" w:styleId="15">
    <w:name w:val="正文缩进 字符"/>
    <w:link w:val="4"/>
    <w:autoRedefine/>
    <w:qFormat/>
    <w:uiPriority w:val="0"/>
    <w:rPr>
      <w:rFonts w:ascii="Times New Roman" w:hAnsi="Times New Roman" w:eastAsia="宋体" w:cs="Times New Roman"/>
      <w:szCs w:val="24"/>
    </w:rPr>
  </w:style>
  <w:style w:type="character" w:customStyle="1" w:styleId="16">
    <w:name w:val="列表段落 字符"/>
    <w:link w:val="13"/>
    <w:autoRedefine/>
    <w:qFormat/>
    <w:uiPriority w:val="0"/>
  </w:style>
  <w:style w:type="paragraph" w:customStyle="1" w:styleId="17">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18">
    <w:name w:val="正文文本 字符"/>
    <w:link w:val="2"/>
    <w:autoRedefine/>
    <w:qFormat/>
    <w:locked/>
    <w:uiPriority w:val="99"/>
    <w:rPr>
      <w:szCs w:val="24"/>
    </w:rPr>
  </w:style>
  <w:style w:type="character" w:customStyle="1" w:styleId="19">
    <w:name w:val="正文文本 Char1"/>
    <w:basedOn w:val="10"/>
    <w:autoRedefine/>
    <w:semiHidden/>
    <w:qFormat/>
    <w:uiPriority w:val="99"/>
  </w:style>
  <w:style w:type="character" w:customStyle="1" w:styleId="20">
    <w:name w:val="批注文字 字符"/>
    <w:basedOn w:val="10"/>
    <w:link w:val="5"/>
    <w:autoRedefine/>
    <w:semiHidden/>
    <w:qFormat/>
    <w:uiPriority w:val="99"/>
  </w:style>
  <w:style w:type="character" w:customStyle="1" w:styleId="21">
    <w:name w:val="批注主题 字符"/>
    <w:basedOn w:val="20"/>
    <w:link w:val="7"/>
    <w:autoRedefine/>
    <w:semiHidden/>
    <w:qFormat/>
    <w:uiPriority w:val="99"/>
    <w:rPr>
      <w:b/>
      <w:bCs/>
    </w:rPr>
  </w:style>
  <w:style w:type="character" w:customStyle="1" w:styleId="22">
    <w:name w:val="正文文本首行缩进 字符"/>
    <w:link w:val="3"/>
    <w:autoRedefine/>
    <w:qFormat/>
    <w:uiPriority w:val="0"/>
    <w:rPr>
      <w:rFonts w:hint="default" w:ascii="Calibri" w:hAnsi="Calibri" w:eastAsia="宋体" w:cs="Times New Roman"/>
      <w:kern w:val="2"/>
      <w:sz w:val="21"/>
      <w:szCs w:val="22"/>
    </w:rPr>
  </w:style>
  <w:style w:type="paragraph" w:customStyle="1" w:styleId="23">
    <w:name w:val="Table Paragraph"/>
    <w:basedOn w:val="1"/>
    <w:autoRedefine/>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893</Words>
  <Characters>5095</Characters>
  <Lines>42</Lines>
  <Paragraphs>11</Paragraphs>
  <TotalTime>8</TotalTime>
  <ScaleCrop>false</ScaleCrop>
  <LinksUpToDate>false</LinksUpToDate>
  <CharactersWithSpaces>5977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李好</cp:lastModifiedBy>
  <cp:lastPrinted>2021-10-12T08:20:00Z</cp:lastPrinted>
  <dcterms:modified xsi:type="dcterms:W3CDTF">2024-04-17T01:47:09Z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D2CD5679B1544A6680DEB91BF83B5D97</vt:lpwstr>
  </property>
</Properties>
</file>