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资阳市雁江区人民医院</w:t>
      </w:r>
    </w:p>
    <w:p>
      <w:pPr>
        <w:spacing w:line="66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医废袋、锐器盒、医废桶询价采购需求</w:t>
      </w:r>
    </w:p>
    <w:p>
      <w:pPr>
        <w:spacing w:line="360" w:lineRule="auto"/>
        <w:rPr>
          <w:rFonts w:asciiTheme="minorEastAsia" w:hAnsiTheme="minorEastAsia"/>
          <w:sz w:val="36"/>
          <w:szCs w:val="36"/>
        </w:rPr>
      </w:pPr>
    </w:p>
    <w:p>
      <w:pPr>
        <w:pStyle w:val="15"/>
        <w:numPr>
          <w:ilvl w:val="0"/>
          <w:numId w:val="0"/>
        </w:numPr>
        <w:spacing w:line="360" w:lineRule="auto"/>
        <w:ind w:leftChars="0" w:firstLine="482" w:firstLineChars="200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/>
          <w:b/>
          <w:sz w:val="24"/>
          <w:szCs w:val="24"/>
        </w:rPr>
        <w:t>技术、功能要求及其他相关要求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val="en-US" w:eastAsia="zh-CN"/>
        </w:rPr>
        <w:t>本项目最高限价</w:t>
      </w:r>
      <w:r>
        <w:rPr>
          <w:rFonts w:hint="eastAsia" w:asciiTheme="minorEastAsia" w:hAnsiTheme="minorEastAsia" w:cstheme="minorEastAsia"/>
          <w:color w:val="auto"/>
          <w:kern w:val="2"/>
          <w:sz w:val="24"/>
          <w:szCs w:val="24"/>
          <w:lang w:val="en-US" w:eastAsia="zh-CN" w:bidi="ar-SA"/>
        </w:rPr>
        <w:t>9.59</w:t>
      </w:r>
      <w:r>
        <w:rPr>
          <w:rFonts w:hint="eastAsia"/>
          <w:sz w:val="24"/>
          <w:szCs w:val="24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  <w:lang w:val="en-US" w:eastAsia="zh-CN"/>
        </w:rPr>
        <w:t>黄色垃圾袋、利器盒、黄色垃圾桶用于医院临床科室盛装产生的医疗废物。</w:t>
      </w:r>
    </w:p>
    <w:p>
      <w:pPr>
        <w:pStyle w:val="2"/>
        <w:numPr>
          <w:ilvl w:val="0"/>
          <w:numId w:val="0"/>
        </w:numPr>
        <w:spacing w:line="360" w:lineRule="auto"/>
        <w:ind w:firstLine="48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 w:bidi="ar-SA"/>
        </w:rPr>
        <w:t>3.采</w:t>
      </w:r>
      <w:r>
        <w:rPr>
          <w:rFonts w:hint="eastAsia"/>
          <w:lang w:val="en-US" w:eastAsia="zh-CN"/>
        </w:rPr>
        <w:t>购清单</w:t>
      </w:r>
    </w:p>
    <w:tbl>
      <w:tblPr>
        <w:tblStyle w:val="12"/>
        <w:tblW w:w="501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692"/>
        <w:gridCol w:w="1980"/>
        <w:gridCol w:w="756"/>
        <w:gridCol w:w="828"/>
        <w:gridCol w:w="1320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规格参数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预算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最高单价限价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医疗废物黄色垃圾袋大号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平口袋90*100cm（100根/把）、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3S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把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45.00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医疗废物黄色垃圾袋中号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背心袋65*70cm（50根/把）、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4S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把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17.00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医疗废物黄色垃圾袋小号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背心袋52*56cm（100根/把）、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3S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把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黑色垃圾袋大号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平口袋90*100cm（100根/把）、双面3s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把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40.00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  <w:t>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黑色垃圾袋中号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背心袋65*70cm (50根/把）、双面3s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把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18.00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  <w:t>2700.00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黑色垃圾袋小号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背心袋48*52cm（100根/把）、双面3s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把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  <w:t>1000.00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医疗废物利器盒1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1L（带盖、PE材质圆形）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1.50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  <w:t>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医疗废物利器盒2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3L（带盖、PE材质圆形）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2.50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  <w:t>75.00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医疗废物利器盒3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5L（带盖、PE材质圆形））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3.50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  <w:t>17500.00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医疗废物利器盒4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6.5L（带盖、PE材质圆形）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550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4.00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医疗废物利器盒5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8L（带盖、PE材质方形）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8.00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  <w:t>16000.00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医疗废物利器盒6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25L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（带盖、PE材质方形）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25.00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  <w:t>250.00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医疗废物黄色垃圾桶1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30L（带盖、脚踏式，PE材质塑料）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40.00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  <w:t>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医疗废物黄色垃圾桶2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70L（带盖、脚踏式，PE材质塑料）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65.00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  <w:t>650.00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医疗废物黄色垃圾桶3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120L（带盖、带两轮，PE材质塑料）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140.00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  <w:t>1400.00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医疗废物黄色垃圾桶4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240L（带盖、带两轮，PE材质塑料）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210.00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  <w:t>1050.00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灰色垃圾桶1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30L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（带盖、带两轮，PE材质塑料）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45.00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  <w:t>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1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88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灰色垃圾桶2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70L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（带盖、带两轮，PE材质塑料）</w:t>
            </w: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110.00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  <w:t>2200.00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02" w:type="pct"/>
            <w:gridSpan w:val="2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57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43" w:type="pct"/>
            <w:noWrap w:val="0"/>
            <w:vAlign w:val="center"/>
          </w:tcPr>
          <w:p>
            <w:pPr>
              <w:widowControl/>
              <w:spacing w:beforeLines="0" w:afterLines="0" w:line="340" w:lineRule="atLeast"/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-SA"/>
              </w:rPr>
              <w:t>95900.00</w:t>
            </w:r>
          </w:p>
        </w:tc>
      </w:tr>
    </w:tbl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lang w:eastAsia="zh-CN"/>
        </w:rPr>
        <w:t>二</w:t>
      </w:r>
      <w:r>
        <w:rPr>
          <w:rFonts w:hint="eastAsia" w:asciiTheme="minorEastAsia" w:hAnsiTheme="minorEastAsia"/>
          <w:b/>
          <w:sz w:val="24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技术要求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vertAlign w:val="baseline"/>
          <w:lang w:val="en-US" w:eastAsia="zh-CN"/>
        </w:rPr>
        <w:t>医疗废物黄色垃圾袋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利器盒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vertAlign w:val="baseline"/>
          <w:lang w:val="en-US" w:eastAsia="zh-CN"/>
        </w:rPr>
        <w:t>黄色医疗垃圾桶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标准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指标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应符合《医疗废物专用包装物、容器标准和警示标识规定》（以下简称：规定）的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标准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，即：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vertAlign w:val="baseline"/>
          <w:lang w:val="en-US" w:eastAsia="zh-CN"/>
        </w:rPr>
        <w:t>医疗废物黄色垃圾袋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整体颜色为黄色，在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上应注明医疗废物感染性医疗废物及医疗废物警示标示，大号应满足袋装重量不低于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15KG不破裂、不拉丝，中号应满足袋装重量不低于10KG不破裂、不拉丝，小号应满足袋装重量不低于5KG不破裂、不拉丝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利器盒整体为硬制材料制成，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密封，以保证利器盒在正常使用的情况下，盒内盛装的锐利器具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不撒漏，利器盒一旦被封口，在不破坏的情况下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被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再次打开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利器盒能防刺穿，其盛装的注射器针头、破碎玻璃片等锐利器具不能刺穿利器盒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满盛装量的利器盒从1.5m高处垂直跌落至水泥地面，连续3次，利器盒不会出现破裂、被刺穿等情况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利器盒易于焚烧，不得使用聚氯乙烯(PVC)塑料作为制造原材料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利器盒整体颜色为黄色，在盒体侧面注明“损伤性废物”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利器盒上应印制医疗废物警示标识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利器盒规格尺寸可根据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要求确定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；</w:t>
      </w:r>
    </w:p>
    <w:p>
      <w:pPr>
        <w:pStyle w:val="3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vertAlign w:val="baseline"/>
          <w:lang w:val="en-US" w:eastAsia="zh-CN"/>
        </w:rPr>
        <w:t>黄色医疗垃圾桶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整体为硬制材料制成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能防刺穿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从1.5m高处垂直跌落至水泥地面，连续3次，利器盒不会出现破裂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易于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环保处置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，不得使用聚氯乙烯(PVC)塑料作为制造原材料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；轮子应使用静音轮，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桶体正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面注明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“医疗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废物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”并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应印制医疗废物警示标识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30L、70L、120L桶盖、桶壁不低于0.3cm，240L桶盖、桶壁不低于0.5cm。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合同签订时间：成交公告公示结束后30日内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交付期限：收到订货清单5天之内交货。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sz w:val="24"/>
          <w:szCs w:val="24"/>
        </w:rPr>
        <w:t>合同履行时间：合同签订后一年内，按采购人供货计划分批次完成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履约地点：资阳市雁江区人民医院。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5.本次报价含储存、运输、人工费及税费等。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质保期：≥1年。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售后服务要求：及时免费更换破损及不符合要求的产品。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8.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付款方式：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按季度付款，</w:t>
      </w:r>
      <w:r>
        <w:rPr>
          <w:rFonts w:hint="eastAsia" w:asciiTheme="minorEastAsia" w:hAnsiTheme="minorEastAsia"/>
          <w:sz w:val="24"/>
          <w:szCs w:val="24"/>
        </w:rPr>
        <w:t>货物按采购人供货计划分批次到达交货地点验收合格</w:t>
      </w:r>
      <w:r>
        <w:rPr>
          <w:rFonts w:hint="eastAsia" w:asciiTheme="minorEastAsia" w:hAnsiTheme="minorEastAsia"/>
          <w:sz w:val="24"/>
          <w:szCs w:val="24"/>
          <w:lang w:eastAsia="zh-CN"/>
        </w:rPr>
        <w:t>，收到成交供应商提供的合法有效完税发票并完善财务手续后，</w:t>
      </w:r>
      <w:r>
        <w:rPr>
          <w:rFonts w:hint="eastAsia" w:asciiTheme="minorEastAsia" w:hAnsiTheme="minorEastAsia"/>
          <w:sz w:val="24"/>
          <w:szCs w:val="24"/>
        </w:rPr>
        <w:t>30个工作日内转账支付</w:t>
      </w:r>
      <w:r>
        <w:rPr>
          <w:rFonts w:hint="eastAsia" w:asciiTheme="minorEastAsia" w:hAnsiTheme="minorEastAsia"/>
          <w:sz w:val="24"/>
          <w:szCs w:val="24"/>
          <w:lang w:eastAsia="zh-CN"/>
        </w:rPr>
        <w:t>上季度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100%</w:t>
      </w:r>
      <w:r>
        <w:rPr>
          <w:rFonts w:hint="eastAsia" w:asciiTheme="minorEastAsia" w:hAnsiTheme="minorEastAsia"/>
          <w:sz w:val="24"/>
          <w:szCs w:val="24"/>
          <w:lang w:eastAsia="zh-CN"/>
        </w:rPr>
        <w:t>货款</w:t>
      </w:r>
      <w:r>
        <w:rPr>
          <w:rFonts w:hint="eastAsia" w:asciiTheme="minorEastAsia" w:hAnsiTheme="minorEastAsia"/>
          <w:sz w:val="24"/>
          <w:szCs w:val="24"/>
        </w:rPr>
        <w:t>（如产品出现质量问题则支付期相应顺延）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/>
          <w:sz w:val="24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9.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验收：本项目采购人将参照《财政部关于进一步加强政府采购需求</w:t>
      </w:r>
      <w:r>
        <w:rPr>
          <w:rFonts w:hint="eastAsia" w:asciiTheme="minorEastAsia" w:hAnsiTheme="minorEastAsia"/>
          <w:sz w:val="24"/>
        </w:rPr>
        <w:t>和履约验收管理的指导意见》（财库[2016]205号）、资阳市财政局《关于严格落实政府采购需求论证、合同备案和履约验收有关问题的通知》（资财采〔2019〕39号）</w:t>
      </w:r>
      <w:r>
        <w:rPr>
          <w:rFonts w:hint="eastAsia" w:asciiTheme="minorEastAsia" w:hAnsi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《医疗废物专用包装物、容器标准和警示标识规定》</w:t>
      </w:r>
      <w:r>
        <w:rPr>
          <w:rFonts w:hint="eastAsia" w:asciiTheme="minorEastAsia" w:hAnsiTheme="minorEastAsia"/>
          <w:sz w:val="24"/>
        </w:rPr>
        <w:t>等相关文件进行验收。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  <w:r>
        <w:rPr>
          <w:rFonts w:hint="eastAsia"/>
          <w:b/>
          <w:bCs/>
        </w:rPr>
        <w:t>注：</w:t>
      </w:r>
      <w:r>
        <w:rPr>
          <w:rFonts w:hint="eastAsia"/>
        </w:rPr>
        <w:t>本次询价采购供应商需全部满足采购需求，不允许负偏离，否则为无效响应。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四、供应商资格要求及证明材料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.参加政府采购活动前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8.根据采购项目提出的特殊条件：所投产品须符合《医疗废物专用包装物、容器标准和警示标识规定》（提供承诺函原件）。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</w:rPr>
        <w:t>五、响应文件要求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询价</w:t>
      </w:r>
      <w:r>
        <w:rPr>
          <w:rFonts w:hint="eastAsia" w:cs="宋体-18030" w:asciiTheme="minorEastAsia" w:hAnsiTheme="minorEastAsia"/>
          <w:kern w:val="0"/>
          <w:sz w:val="24"/>
        </w:rPr>
        <w:t>文件的要求制作，签署、盖章和内容应完整。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1.递交响应文件截止时间：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2024</w:t>
      </w:r>
      <w:r>
        <w:rPr>
          <w:rFonts w:hint="eastAsia" w:cs="宋体-18030" w:asciiTheme="minorEastAsia" w:hAnsiTheme="minorEastAsia"/>
          <w:kern w:val="0"/>
          <w:sz w:val="24"/>
        </w:rPr>
        <w:t>年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1 </w:t>
      </w:r>
      <w:r>
        <w:rPr>
          <w:rFonts w:hint="eastAsia" w:cs="宋体-18030" w:asciiTheme="minorEastAsia" w:hAnsiTheme="minorEastAsia"/>
          <w:kern w:val="0"/>
          <w:sz w:val="24"/>
        </w:rPr>
        <w:t>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11 </w:t>
      </w:r>
      <w:r>
        <w:rPr>
          <w:rFonts w:hint="eastAsia" w:cs="宋体-18030" w:asciiTheme="minorEastAsia" w:hAnsiTheme="minorEastAsia"/>
          <w:kern w:val="0"/>
          <w:sz w:val="24"/>
        </w:rPr>
        <w:t>日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17:00</w:t>
      </w:r>
      <w:bookmarkStart w:id="1" w:name="_GoBack"/>
      <w:bookmarkEnd w:id="1"/>
      <w:r>
        <w:rPr>
          <w:rFonts w:hint="eastAsia" w:cs="宋体-18030" w:asciiTheme="minorEastAsia" w:hAnsiTheme="minorEastAsia"/>
          <w:kern w:val="0"/>
          <w:sz w:val="24"/>
        </w:rPr>
        <w:t>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2.递交响应文件地点：资阳市雁江区人民医院采购办（住院部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12</w:t>
      </w:r>
      <w:r>
        <w:rPr>
          <w:rFonts w:hint="eastAsia" w:cs="宋体-18030" w:asciiTheme="minorEastAsia" w:hAnsiTheme="minorEastAsia"/>
          <w:kern w:val="0"/>
          <w:sz w:val="24"/>
        </w:rPr>
        <w:t>楼）。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3.逾期送达或者未送达指定地点的响应文件，采购人不予受理。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七、联系方式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cs="宋体-18030" w:asciiTheme="minorEastAsia" w:hAnsi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</w:rPr>
        <w:t>联系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方式</w:t>
      </w:r>
      <w:r>
        <w:rPr>
          <w:rFonts w:hint="eastAsia" w:cs="宋体-18030" w:asciiTheme="minorEastAsia" w:hAnsiTheme="minorEastAsia"/>
          <w:kern w:val="0"/>
          <w:sz w:val="24"/>
        </w:rPr>
        <w:t>：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采购办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028-26346672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八、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一、报价表（金额单位：元）</w:t>
      </w:r>
    </w:p>
    <w:tbl>
      <w:tblPr>
        <w:tblStyle w:val="11"/>
        <w:tblW w:w="4872" w:type="pct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52"/>
        <w:gridCol w:w="1356"/>
        <w:gridCol w:w="852"/>
        <w:gridCol w:w="828"/>
        <w:gridCol w:w="876"/>
        <w:gridCol w:w="1183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-18030" w:asciiTheme="minorEastAsia" w:hAnsiTheme="minorEastAsia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-18030" w:asciiTheme="minorEastAsia" w:hAnsi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-18030" w:asciiTheme="minorEastAsia" w:hAnsiTheme="minorEastAsia" w:eastAsiaTheme="minorEastAsia"/>
                <w:kern w:val="0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总价</w:t>
            </w: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04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04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 w:eastAsia="zh-CN"/>
              </w:rPr>
              <w:t>合计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（大写）：                           小写：</w:t>
            </w:r>
          </w:p>
        </w:tc>
      </w:tr>
    </w:tbl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本次报价含货物、运输、人工费及税费等。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二、是否全部响应本次采购需求：是□  否□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>
      <w:pPr>
        <w:spacing w:line="360" w:lineRule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</w:t>
      </w:r>
    </w:p>
    <w:p>
      <w:pPr>
        <w:spacing w:line="360" w:lineRule="auto"/>
        <w:rPr>
          <w:rFonts w:hint="eastAsia" w:cs="宋体-18030" w:asciiTheme="minorEastAsia" w:hAnsiTheme="minorEastAsia"/>
          <w:kern w:val="0"/>
          <w:sz w:val="24"/>
          <w:lang w:val="zh-CN"/>
        </w:rPr>
      </w:pPr>
    </w:p>
    <w:p>
      <w:pPr>
        <w:spacing w:line="360" w:lineRule="auto"/>
        <w:ind w:firstLine="3120" w:firstLineChars="13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投标人名称（盖章）：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法定代表人或授权代表：</w:t>
      </w:r>
    </w:p>
    <w:p>
      <w:pPr>
        <w:spacing w:line="360" w:lineRule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NGQ2MzM2NDFlYjkwNmFlMmQxMzkyMjk1Mjg2ODIifQ=="/>
  </w:docVars>
  <w:rsids>
    <w:rsidRoot w:val="000D5BC6"/>
    <w:rsid w:val="000230D4"/>
    <w:rsid w:val="00044082"/>
    <w:rsid w:val="00063B66"/>
    <w:rsid w:val="00091E77"/>
    <w:rsid w:val="000B51C4"/>
    <w:rsid w:val="000B5604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D76CDB"/>
    <w:rsid w:val="00DE2984"/>
    <w:rsid w:val="00E62591"/>
    <w:rsid w:val="00E7392B"/>
    <w:rsid w:val="00EB1303"/>
    <w:rsid w:val="00EC5235"/>
    <w:rsid w:val="00F815D3"/>
    <w:rsid w:val="00FE4DD7"/>
    <w:rsid w:val="00FE7851"/>
    <w:rsid w:val="00FF34C4"/>
    <w:rsid w:val="00FF3BEE"/>
    <w:rsid w:val="00FF4698"/>
    <w:rsid w:val="1CC31199"/>
    <w:rsid w:val="281C5F79"/>
    <w:rsid w:val="284138AF"/>
    <w:rsid w:val="2F2564F1"/>
    <w:rsid w:val="311B31B5"/>
    <w:rsid w:val="3E624969"/>
    <w:rsid w:val="3E8D0F4D"/>
    <w:rsid w:val="41B859F1"/>
    <w:rsid w:val="47FE21A4"/>
    <w:rsid w:val="4A1252C8"/>
    <w:rsid w:val="4F393C1A"/>
    <w:rsid w:val="5C5F0883"/>
    <w:rsid w:val="69807EFF"/>
    <w:rsid w:val="72707C3D"/>
    <w:rsid w:val="7AB229CD"/>
    <w:rsid w:val="7F29203D"/>
    <w:rsid w:val="7FD257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autoRedefine/>
    <w:qFormat/>
    <w:uiPriority w:val="0"/>
    <w:pPr>
      <w:jc w:val="both"/>
      <w:textAlignment w:val="baseline"/>
    </w:pPr>
    <w:rPr>
      <w:kern w:val="2"/>
      <w:sz w:val="24"/>
      <w:szCs w:val="24"/>
      <w:lang w:val="en-US" w:eastAsia="zh-CN" w:bidi="ar-SA"/>
    </w:rPr>
  </w:style>
  <w:style w:type="paragraph" w:customStyle="1" w:styleId="3">
    <w:name w:val="UserStyle_2"/>
    <w:next w:val="1"/>
    <w:autoRedefine/>
    <w:qFormat/>
    <w:uiPriority w:val="0"/>
    <w:pPr>
      <w:textAlignment w:val="baseline"/>
    </w:pPr>
    <w:rPr>
      <w:rFonts w:ascii="楷体à.ā" w:hAnsi="Calibri" w:eastAsia="楷体à.ā" w:cs="Times New Roman"/>
      <w:color w:val="000000"/>
      <w:sz w:val="24"/>
      <w:lang w:val="en-US" w:eastAsia="zh-CN" w:bidi="ar-SA"/>
    </w:rPr>
  </w:style>
  <w:style w:type="paragraph" w:styleId="4">
    <w:name w:val="Normal Indent"/>
    <w:basedOn w:val="1"/>
    <w:link w:val="17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5">
    <w:name w:val="annotation text"/>
    <w:basedOn w:val="1"/>
    <w:link w:val="22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link w:val="20"/>
    <w:autoRedefine/>
    <w:qFormat/>
    <w:uiPriority w:val="99"/>
    <w:pPr>
      <w:spacing w:after="120"/>
    </w:pPr>
    <w:rPr>
      <w:szCs w:val="24"/>
    </w:rPr>
  </w:style>
  <w:style w:type="paragraph" w:styleId="7">
    <w:name w:val="Plain Text"/>
    <w:basedOn w:val="1"/>
    <w:link w:val="24"/>
    <w:autoRedefine/>
    <w:qFormat/>
    <w:uiPriority w:val="0"/>
    <w:rPr>
      <w:rFonts w:ascii="宋体" w:hAnsi="Courier New" w:eastAsia="宋体" w:cs="Courier New"/>
      <w:szCs w:val="21"/>
    </w:rPr>
  </w:style>
  <w:style w:type="paragraph" w:styleId="8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9">
    <w:name w:val="annotation subject"/>
    <w:basedOn w:val="5"/>
    <w:next w:val="5"/>
    <w:link w:val="23"/>
    <w:autoRedefine/>
    <w:semiHidden/>
    <w:unhideWhenUsed/>
    <w:qFormat/>
    <w:uiPriority w:val="99"/>
    <w:rPr>
      <w:b/>
      <w:bCs/>
    </w:rPr>
  </w:style>
  <w:style w:type="paragraph" w:styleId="10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table" w:styleId="12">
    <w:name w:val="Table Grid"/>
    <w:basedOn w:val="11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link w:val="18"/>
    <w:autoRedefine/>
    <w:qFormat/>
    <w:uiPriority w:val="0"/>
    <w:pPr>
      <w:ind w:firstLine="420" w:firstLineChars="200"/>
    </w:pPr>
  </w:style>
  <w:style w:type="character" w:customStyle="1" w:styleId="16">
    <w:name w:val="批注框文本 Char"/>
    <w:basedOn w:val="13"/>
    <w:link w:val="8"/>
    <w:autoRedefine/>
    <w:semiHidden/>
    <w:qFormat/>
    <w:uiPriority w:val="99"/>
    <w:rPr>
      <w:sz w:val="18"/>
      <w:szCs w:val="18"/>
    </w:rPr>
  </w:style>
  <w:style w:type="character" w:customStyle="1" w:styleId="17">
    <w:name w:val="正文缩进 Char"/>
    <w:link w:val="4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列出段落 Char"/>
    <w:link w:val="15"/>
    <w:autoRedefine/>
    <w:qFormat/>
    <w:uiPriority w:val="0"/>
  </w:style>
  <w:style w:type="paragraph" w:customStyle="1" w:styleId="19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20">
    <w:name w:val="正文文本 Char"/>
    <w:link w:val="6"/>
    <w:autoRedefine/>
    <w:qFormat/>
    <w:locked/>
    <w:uiPriority w:val="99"/>
    <w:rPr>
      <w:szCs w:val="24"/>
    </w:rPr>
  </w:style>
  <w:style w:type="character" w:customStyle="1" w:styleId="21">
    <w:name w:val="正文文本 Char1"/>
    <w:basedOn w:val="13"/>
    <w:autoRedefine/>
    <w:semiHidden/>
    <w:qFormat/>
    <w:uiPriority w:val="99"/>
  </w:style>
  <w:style w:type="character" w:customStyle="1" w:styleId="22">
    <w:name w:val="批注文字 Char"/>
    <w:basedOn w:val="13"/>
    <w:link w:val="5"/>
    <w:autoRedefine/>
    <w:semiHidden/>
    <w:qFormat/>
    <w:uiPriority w:val="99"/>
  </w:style>
  <w:style w:type="character" w:customStyle="1" w:styleId="23">
    <w:name w:val="批注主题 Char"/>
    <w:basedOn w:val="22"/>
    <w:link w:val="9"/>
    <w:autoRedefine/>
    <w:semiHidden/>
    <w:qFormat/>
    <w:uiPriority w:val="99"/>
    <w:rPr>
      <w:b/>
      <w:bCs/>
    </w:rPr>
  </w:style>
  <w:style w:type="character" w:customStyle="1" w:styleId="24">
    <w:name w:val="纯文本 Char"/>
    <w:basedOn w:val="13"/>
    <w:link w:val="7"/>
    <w:autoRedefine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2318</Words>
  <Characters>2558</Characters>
  <Lines>35</Lines>
  <Paragraphs>10</Paragraphs>
  <TotalTime>0</TotalTime>
  <ScaleCrop>false</ScaleCrop>
  <LinksUpToDate>false</LinksUpToDate>
  <CharactersWithSpaces>2701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李好</cp:lastModifiedBy>
  <dcterms:modified xsi:type="dcterms:W3CDTF">2024-01-08T03:29:29Z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8D5A85B3B5774C6289B59085B1830018_13</vt:lpwstr>
  </property>
</Properties>
</file>