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spacing w:line="660" w:lineRule="exact"/>
        <w:jc w:val="center"/>
        <w:rPr>
          <w:rFonts w:ascii="方正小标宋简体" w:hAnsi="方正小标宋简体" w:eastAsia="方正小标宋简体"/>
          <w:sz w:val="44"/>
          <w:szCs w:val="44"/>
        </w:rPr>
      </w:pPr>
      <w:r>
        <w:rPr>
          <w:rFonts w:hint="eastAsia" w:ascii="宋体" w:hAnsi="宋体" w:eastAsia="宋体"/>
          <w:b/>
          <w:sz w:val="44"/>
          <w:szCs w:val="44"/>
        </w:rPr>
        <w:t>医用制水设备相关耗材</w:t>
      </w:r>
      <w:r>
        <w:rPr>
          <w:rFonts w:hint="eastAsia" w:ascii="方正小标宋简体" w:hAnsi="方正小标宋简体" w:eastAsia="方正小标宋简体"/>
          <w:sz w:val="44"/>
          <w:szCs w:val="44"/>
        </w:rPr>
        <w:t>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9"/>
        <w:snapToGrid w:val="0"/>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为了保证医用纯水制水设备正常使用，制水质量达标，需要对纯水制水设备的耗材进行定期更换，具体按照纯水设备型号需求进行更换。本项目供货期限为自签订合同之日起1年内，累计结算金额不得超过预算金额</w:t>
      </w:r>
      <w:r>
        <w:rPr>
          <w:rFonts w:hint="eastAsia" w:asciiTheme="minorEastAsia" w:hAnsiTheme="minorEastAsia" w:cstheme="minorEastAsia"/>
          <w:b/>
          <w:bCs/>
          <w:sz w:val="28"/>
          <w:szCs w:val="28"/>
          <w:lang w:val="en-US" w:eastAsia="zh-CN"/>
        </w:rPr>
        <w:t>25</w:t>
      </w:r>
      <w:r>
        <w:rPr>
          <w:rFonts w:hint="eastAsia" w:asciiTheme="minorEastAsia" w:hAnsiTheme="minorEastAsia" w:cstheme="minorEastAsia"/>
          <w:b/>
          <w:bCs/>
          <w:sz w:val="28"/>
          <w:szCs w:val="28"/>
        </w:rPr>
        <w:t>万元，分项限价见“采购清单及技术要求”。</w:t>
      </w:r>
    </w:p>
    <w:p>
      <w:pPr>
        <w:widowControl/>
        <w:numPr>
          <w:ilvl w:val="0"/>
          <w:numId w:val="1"/>
        </w:numPr>
        <w:shd w:val="clear" w:color="auto" w:fill="FFFFFF"/>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采购清单及技术要求</w:t>
      </w:r>
    </w:p>
    <w:tbl>
      <w:tblPr>
        <w:tblStyle w:val="14"/>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
        <w:gridCol w:w="2211"/>
        <w:gridCol w:w="1266"/>
        <w:gridCol w:w="2038"/>
        <w:gridCol w:w="828"/>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使用科室</w:t>
            </w:r>
          </w:p>
        </w:tc>
        <w:tc>
          <w:tcPr>
            <w:tcW w:w="2211"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设备信息</w:t>
            </w:r>
          </w:p>
        </w:tc>
        <w:tc>
          <w:tcPr>
            <w:tcW w:w="1266"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涉及耗材</w:t>
            </w:r>
          </w:p>
        </w:tc>
        <w:tc>
          <w:tcPr>
            <w:tcW w:w="2038"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规格型号</w:t>
            </w:r>
          </w:p>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技术标准</w:t>
            </w:r>
          </w:p>
        </w:tc>
        <w:tc>
          <w:tcPr>
            <w:tcW w:w="828" w:type="dxa"/>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计价单位</w:t>
            </w:r>
          </w:p>
        </w:tc>
        <w:tc>
          <w:tcPr>
            <w:tcW w:w="1610" w:type="dxa"/>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最高限价（单价）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检验科</w:t>
            </w:r>
          </w:p>
        </w:tc>
        <w:tc>
          <w:tcPr>
            <w:tcW w:w="2211" w:type="dxa"/>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品牌：优普</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型号：UPS-I-80L、UPS-I-100L</w:t>
            </w:r>
          </w:p>
          <w:p>
            <w:pPr>
              <w:ind w:firstLine="945" w:firstLineChars="450"/>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树脂</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产水电阻率≥10MΩ*cm，每升树脂交换纯水量≥800L。</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规格：3020</w:t>
            </w:r>
          </w:p>
          <w:p>
            <w:pPr>
              <w:widowControl/>
              <w:jc w:val="left"/>
              <w:rPr>
                <w:rFonts w:asciiTheme="minorEastAsia" w:hAnsiTheme="minorEastAsia" w:cstheme="minorEastAsia"/>
              </w:rPr>
            </w:pPr>
            <w:r>
              <w:rPr>
                <w:rFonts w:hint="eastAsia" w:asciiTheme="minorEastAsia" w:hAnsiTheme="minorEastAsia" w:cstheme="minorEastAsia"/>
              </w:rPr>
              <w:t>单支膜产水量≥80L/h，脱盐率≥96%。</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1850.00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滤芯（PP+AC+PP叁支）</w:t>
            </w:r>
          </w:p>
        </w:tc>
        <w:tc>
          <w:tcPr>
            <w:tcW w:w="203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套</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240.00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内镜中心</w:t>
            </w:r>
          </w:p>
        </w:tc>
        <w:tc>
          <w:tcPr>
            <w:tcW w:w="2211" w:type="dxa"/>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品牌：通力达          </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型号：LDM-Ⅲ-A- 300S</w:t>
            </w: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pPr>
              <w:widowControl/>
              <w:jc w:val="left"/>
              <w:rPr>
                <w:rFonts w:asciiTheme="minorEastAsia" w:hAnsiTheme="minorEastAsia" w:cstheme="minorEastAsia"/>
                <w:kern w:val="0"/>
                <w:szCs w:val="21"/>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pPr>
              <w:widowControl/>
              <w:jc w:val="left"/>
              <w:rPr>
                <w:rFonts w:asciiTheme="minorEastAsia" w:hAnsiTheme="minorEastAsia" w:cstheme="minorEastAsia"/>
                <w:kern w:val="0"/>
                <w:szCs w:val="21"/>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2038" w:type="dxa"/>
            <w:shd w:val="clear" w:color="auto" w:fill="auto"/>
            <w:vAlign w:val="center"/>
          </w:tcPr>
          <w:p>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4040</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产水量≥300L/h，脱盐率≥98%。提供相关检测证明文件。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5000.00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2038" w:type="dxa"/>
            <w:shd w:val="clear" w:color="auto" w:fill="auto"/>
            <w:vAlign w:val="center"/>
          </w:tcPr>
          <w:p>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pPr>
              <w:widowControl/>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80.00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紫外灯管</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波长254纳米</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900.00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8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离子交换树脂再生剂软水盐</w:t>
            </w:r>
          </w:p>
        </w:tc>
        <w:tc>
          <w:tcPr>
            <w:tcW w:w="203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供应室</w:t>
            </w:r>
          </w:p>
        </w:tc>
        <w:tc>
          <w:tcPr>
            <w:tcW w:w="2211" w:type="dxa"/>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品牌：宜科    </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型号：EKUS- AA01- 1000L</w:t>
            </w: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203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8-12目</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pPr>
              <w:widowControl/>
              <w:jc w:val="left"/>
              <w:rPr>
                <w:rFonts w:asciiTheme="minorEastAsia" w:hAnsiTheme="minorEastAsia" w:cstheme="minorEastAsia"/>
                <w:b/>
                <w:bCs/>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pPr>
              <w:widowControl/>
              <w:jc w:val="left"/>
              <w:rPr>
                <w:rFonts w:asciiTheme="minorEastAsia" w:hAnsiTheme="minorEastAsia" w:cstheme="minorEastAsia"/>
                <w:kern w:val="0"/>
                <w:szCs w:val="21"/>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2038" w:type="dxa"/>
            <w:shd w:val="clear" w:color="auto" w:fill="auto"/>
            <w:vAlign w:val="center"/>
          </w:tcPr>
          <w:p>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4040</w:t>
            </w:r>
          </w:p>
          <w:p>
            <w:pPr>
              <w:widowControl/>
              <w:rPr>
                <w:rFonts w:asciiTheme="minorEastAsia" w:hAnsiTheme="minorEastAsia" w:cstheme="minorEastAsia"/>
                <w:kern w:val="0"/>
                <w:szCs w:val="21"/>
              </w:rPr>
            </w:pPr>
            <w:r>
              <w:rPr>
                <w:rFonts w:hint="eastAsia" w:asciiTheme="minorEastAsia" w:hAnsiTheme="minorEastAsia" w:cstheme="minorEastAsia"/>
              </w:rPr>
              <w:t>单支膜</w:t>
            </w:r>
            <w:r>
              <w:rPr>
                <w:rFonts w:hint="eastAsia" w:asciiTheme="minorEastAsia" w:hAnsiTheme="minorEastAsia" w:cstheme="minorEastAsia"/>
                <w:kern w:val="0"/>
                <w:szCs w:val="21"/>
              </w:rPr>
              <w:t>产水量≥300L/h，脱盐率≥98%。提供相关检测证明文件。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5000.00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2038" w:type="dxa"/>
            <w:shd w:val="clear" w:color="auto" w:fill="auto"/>
            <w:vAlign w:val="center"/>
          </w:tcPr>
          <w:p>
            <w:pPr>
              <w:widowControl/>
              <w:tabs>
                <w:tab w:val="left" w:pos="505"/>
                <w:tab w:val="center" w:pos="1360"/>
              </w:tabs>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离子交换树脂再生剂软水盐</w:t>
            </w:r>
          </w:p>
        </w:tc>
        <w:tc>
          <w:tcPr>
            <w:tcW w:w="203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569"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w:t>
            </w:r>
          </w:p>
        </w:tc>
        <w:tc>
          <w:tcPr>
            <w:tcW w:w="2211" w:type="dxa"/>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品牌：广州康盛                                             型号：KCDS-      300L(A)/KCDS300L(B)             </w:t>
            </w: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2038" w:type="dxa"/>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规格：平压式 10x5μ</w:t>
            </w:r>
          </w:p>
          <w:p>
            <w:pPr>
              <w:widowControl/>
              <w:jc w:val="left"/>
              <w:rPr>
                <w:rFonts w:asciiTheme="minorEastAsia" w:hAnsiTheme="minorEastAsia" w:cstheme="minorEastAsia"/>
              </w:rPr>
            </w:pPr>
            <w:r>
              <w:rPr>
                <w:rFonts w:hint="eastAsia" w:asciiTheme="minorEastAsia" w:hAnsiTheme="minorEastAsia" w:cstheme="minorEastAsia"/>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60.00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trPr>
        <w:tc>
          <w:tcPr>
            <w:tcW w:w="569" w:type="dxa"/>
            <w:vMerge w:val="continue"/>
            <w:vAlign w:val="center"/>
          </w:tcPr>
          <w:p>
            <w:pPr>
              <w:widowControl/>
              <w:jc w:val="left"/>
              <w:rPr>
                <w:rFonts w:asciiTheme="minorEastAsia" w:hAnsiTheme="minorEastAsia" w:cstheme="minorEastAsia"/>
                <w:kern w:val="0"/>
                <w:szCs w:val="21"/>
              </w:rPr>
            </w:pPr>
          </w:p>
        </w:tc>
        <w:tc>
          <w:tcPr>
            <w:tcW w:w="2211" w:type="dxa"/>
            <w:vMerge w:val="continue"/>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微孔折叠滤芯                             </w:t>
            </w:r>
          </w:p>
        </w:tc>
        <w:tc>
          <w:tcPr>
            <w:tcW w:w="2038" w:type="dxa"/>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规格：平压式10</w:t>
            </w:r>
          </w:p>
          <w:p>
            <w:pPr>
              <w:widowControl/>
              <w:jc w:val="left"/>
              <w:rPr>
                <w:rFonts w:asciiTheme="minorEastAsia" w:hAnsiTheme="minorEastAsia" w:cstheme="minorEastAsia"/>
              </w:rPr>
            </w:pPr>
            <w:r>
              <w:rPr>
                <w:rFonts w:hint="eastAsia" w:asciiTheme="minorEastAsia" w:hAnsiTheme="minorEastAsia" w:cstheme="minorEastAsia"/>
              </w:rPr>
              <w:t>过滤孔径≤0.2μ。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180.00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w:t>
            </w:r>
          </w:p>
        </w:tc>
        <w:tc>
          <w:tcPr>
            <w:tcW w:w="2211" w:type="dxa"/>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 xml:space="preserve">品牌：四川纯洁           </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型号：CJ-ROII-3000</w:t>
            </w: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203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4-20目</w:t>
            </w:r>
          </w:p>
        </w:tc>
        <w:tc>
          <w:tcPr>
            <w:tcW w:w="828" w:type="dxa"/>
            <w:vAlign w:val="center"/>
          </w:tcPr>
          <w:p>
            <w:pPr>
              <w:widowControl/>
              <w:jc w:val="center"/>
              <w:textAlignment w:val="center"/>
              <w:rPr>
                <w:rFonts w:asciiTheme="minorEastAsia" w:hAnsiTheme="minorEastAsia" w:cstheme="minorEastAsia"/>
                <w:sz w:val="22"/>
              </w:rPr>
            </w:pPr>
            <w:r>
              <w:rPr>
                <w:rFonts w:hint="eastAsia" w:ascii="宋体" w:hAnsi="宋体" w:eastAsia="宋体" w:cs="宋体"/>
                <w:color w:val="000000"/>
                <w:kern w:val="0"/>
                <w:sz w:val="22"/>
              </w:rPr>
              <w:t>Kg</w:t>
            </w:r>
          </w:p>
        </w:tc>
        <w:tc>
          <w:tcPr>
            <w:tcW w:w="1610" w:type="dxa"/>
            <w:shd w:val="clear" w:color="auto" w:fill="auto"/>
            <w:vAlign w:val="center"/>
          </w:tcPr>
          <w:p>
            <w:pPr>
              <w:widowControl/>
              <w:jc w:val="center"/>
              <w:textAlignment w:val="center"/>
              <w:rPr>
                <w:rFonts w:asciiTheme="minorEastAsia" w:hAnsiTheme="minorEastAsia" w:cstheme="minorEastAsia"/>
              </w:rPr>
            </w:pPr>
            <w:r>
              <w:rPr>
                <w:rFonts w:hint="eastAsia" w:asciiTheme="minorEastAsia" w:hAnsiTheme="minorEastAsia" w:cstheme="minorEastAsia"/>
                <w:sz w:val="22"/>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pPr>
              <w:widowControl/>
              <w:jc w:val="left"/>
              <w:rPr>
                <w:rFonts w:asciiTheme="minorEastAsia" w:hAnsiTheme="minorEastAsia" w:cstheme="minorEastAsia"/>
                <w:b/>
                <w:bCs/>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pPr>
              <w:widowControl/>
              <w:jc w:val="left"/>
              <w:rPr>
                <w:rFonts w:asciiTheme="minorEastAsia" w:hAnsiTheme="minorEastAsia" w:cstheme="minorEastAsia"/>
                <w:b/>
                <w:bCs/>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2038" w:type="dxa"/>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规格：8040</w:t>
            </w:r>
          </w:p>
          <w:p>
            <w:pPr>
              <w:widowControl/>
              <w:jc w:val="left"/>
              <w:rPr>
                <w:rFonts w:asciiTheme="minorEastAsia" w:hAnsiTheme="minorEastAsia" w:cstheme="minorEastAsia"/>
              </w:rPr>
            </w:pPr>
            <w:r>
              <w:rPr>
                <w:rFonts w:hint="eastAsia" w:asciiTheme="minorEastAsia" w:hAnsiTheme="minorEastAsia" w:cstheme="minorEastAsia"/>
              </w:rPr>
              <w:t>单支膜产水量≥1500L/h，脱盐率≥98%。提供相关检测证明文件。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2038" w:type="dxa"/>
            <w:shd w:val="clear" w:color="auto" w:fill="auto"/>
            <w:vAlign w:val="center"/>
          </w:tcPr>
          <w:p>
            <w:pPr>
              <w:widowControl/>
              <w:tabs>
                <w:tab w:val="left" w:pos="314"/>
                <w:tab w:val="center" w:pos="1361"/>
              </w:tabs>
              <w:jc w:val="left"/>
              <w:rPr>
                <w:rFonts w:asciiTheme="minorEastAsia" w:hAnsiTheme="minorEastAsia" w:cstheme="minorEastAsia"/>
              </w:rPr>
            </w:pPr>
            <w:r>
              <w:rPr>
                <w:rFonts w:hint="eastAsia" w:asciiTheme="minorEastAsia" w:hAnsiTheme="minorEastAsia" w:cstheme="minorEastAsia"/>
              </w:rPr>
              <w:t>规格：插入式30寸</w:t>
            </w:r>
          </w:p>
          <w:p>
            <w:pPr>
              <w:widowControl/>
              <w:jc w:val="left"/>
              <w:rPr>
                <w:rFonts w:asciiTheme="minorEastAsia" w:hAnsiTheme="minorEastAsia" w:cstheme="minorEastAsia"/>
              </w:rPr>
            </w:pPr>
            <w:r>
              <w:rPr>
                <w:rFonts w:hint="eastAsia" w:asciiTheme="minorEastAsia" w:hAnsiTheme="minorEastAsia" w:cstheme="minorEastAsia"/>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150.00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6"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软水盐</w:t>
            </w:r>
          </w:p>
        </w:tc>
        <w:tc>
          <w:tcPr>
            <w:tcW w:w="203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消毒液过氧乙酸</w:t>
            </w:r>
          </w:p>
        </w:tc>
        <w:tc>
          <w:tcPr>
            <w:tcW w:w="2038" w:type="dxa"/>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规格：10组/件</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件</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600.00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总氯检测试纸</w:t>
            </w:r>
          </w:p>
        </w:tc>
        <w:tc>
          <w:tcPr>
            <w:tcW w:w="2038" w:type="dxa"/>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规格：100次/瓶</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瓶</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700.00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水硬度检测试纸</w:t>
            </w:r>
          </w:p>
        </w:tc>
        <w:tc>
          <w:tcPr>
            <w:tcW w:w="2038" w:type="dxa"/>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规格：50次/瓶</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sz w:val="22"/>
              </w:rPr>
            </w:pPr>
            <w:r>
              <w:rPr>
                <w:rFonts w:hint="eastAsia" w:ascii="宋体" w:hAnsi="宋体" w:eastAsia="宋体" w:cs="宋体"/>
                <w:color w:val="000000"/>
                <w:kern w:val="0"/>
                <w:sz w:val="22"/>
              </w:rPr>
              <w:t>瓶</w:t>
            </w:r>
          </w:p>
        </w:tc>
        <w:tc>
          <w:tcPr>
            <w:tcW w:w="1610" w:type="dxa"/>
            <w:shd w:val="clear" w:color="auto" w:fill="auto"/>
            <w:vAlign w:val="center"/>
          </w:tcPr>
          <w:p>
            <w:pPr>
              <w:widowControl/>
              <w:jc w:val="center"/>
              <w:textAlignment w:val="center"/>
              <w:rPr>
                <w:rFonts w:asciiTheme="minorEastAsia" w:hAnsiTheme="minorEastAsia" w:cstheme="minorEastAsia"/>
              </w:rPr>
            </w:pPr>
            <w:r>
              <w:rPr>
                <w:rFonts w:hint="eastAsia" w:asciiTheme="minorEastAsia" w:hAnsiTheme="minorEastAsia" w:cstheme="minorEastAsia"/>
                <w:sz w:val="22"/>
              </w:rPr>
              <w:t>700.00</w:t>
            </w:r>
          </w:p>
        </w:tc>
      </w:tr>
      <w:tr>
        <w:tblPrEx>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过氧乙酸残留检测试纸</w:t>
            </w:r>
          </w:p>
        </w:tc>
        <w:tc>
          <w:tcPr>
            <w:tcW w:w="2038" w:type="dxa"/>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规格：100次/瓶</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瓶</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700.00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restart"/>
            <w:shd w:val="clear" w:color="auto" w:fill="auto"/>
            <w:vAlign w:val="center"/>
          </w:tcPr>
          <w:p>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血透室三 楼搬迁供 应室</w:t>
            </w:r>
          </w:p>
        </w:tc>
        <w:tc>
          <w:tcPr>
            <w:tcW w:w="2211" w:type="dxa"/>
            <w:vMerge w:val="restart"/>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品牌：武汉启程</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设备型号：ME4-1000</w:t>
            </w: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石英砂</w:t>
            </w:r>
          </w:p>
        </w:tc>
        <w:tc>
          <w:tcPr>
            <w:tcW w:w="203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8-12目</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活性碳</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黑色无定形颗粒状，本身无毒、无臭、无味，碘值≧1000 。</w:t>
            </w:r>
          </w:p>
          <w:p>
            <w:pPr>
              <w:widowControl/>
              <w:jc w:val="left"/>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Kg</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软化树脂</w:t>
            </w:r>
          </w:p>
        </w:tc>
        <w:tc>
          <w:tcPr>
            <w:tcW w:w="2038" w:type="dxa"/>
            <w:shd w:val="clear" w:color="auto" w:fill="auto"/>
            <w:vAlign w:val="center"/>
          </w:tcPr>
          <w:p>
            <w:pPr>
              <w:widowControl/>
              <w:jc w:val="left"/>
              <w:rPr>
                <w:rFonts w:asciiTheme="minorEastAsia" w:hAnsiTheme="minorEastAsia" w:cstheme="minorEastAsia"/>
              </w:rPr>
            </w:pPr>
            <w:r>
              <w:rPr>
                <w:rFonts w:hint="eastAsia" w:asciiTheme="minorEastAsia" w:hAnsiTheme="minorEastAsia" w:cstheme="minorEastAsia"/>
              </w:rPr>
              <w:t>体积交换容量（Na＋）≥</w:t>
            </w:r>
            <w:r>
              <w:rPr>
                <w:rFonts w:hint="eastAsia" w:asciiTheme="minorEastAsia" w:hAnsiTheme="minorEastAsia" w:cstheme="minorEastAsia"/>
                <w:sz w:val="22"/>
              </w:rPr>
              <w:t>1.9 eq/L;</w:t>
            </w:r>
          </w:p>
          <w:p>
            <w:pPr>
              <w:widowControl/>
              <w:jc w:val="left"/>
              <w:rPr>
                <w:rFonts w:asciiTheme="minorEastAsia" w:hAnsiTheme="minorEastAsia" w:cstheme="minorEastAsia"/>
                <w:sz w:val="22"/>
              </w:rPr>
            </w:pPr>
            <w:r>
              <w:rPr>
                <w:rFonts w:hint="eastAsia" w:asciiTheme="minorEastAsia" w:hAnsiTheme="minorEastAsia" w:cstheme="minorEastAsia"/>
              </w:rPr>
              <w:t>全交换容量（Na＋）≥</w:t>
            </w:r>
            <w:r>
              <w:rPr>
                <w:rFonts w:hint="eastAsia" w:asciiTheme="minorEastAsia" w:hAnsiTheme="minorEastAsia" w:cstheme="minorEastAsia"/>
                <w:sz w:val="22"/>
              </w:rPr>
              <w:t>4.4 eq/kg;</w:t>
            </w:r>
          </w:p>
          <w:p>
            <w:pPr>
              <w:widowControl/>
              <w:jc w:val="left"/>
              <w:rPr>
                <w:rFonts w:asciiTheme="minorEastAsia" w:hAnsiTheme="minorEastAsia" w:cstheme="minorEastAsia"/>
                <w:sz w:val="22"/>
              </w:rPr>
            </w:pPr>
            <w:r>
              <w:rPr>
                <w:rFonts w:hint="eastAsia" w:asciiTheme="minorEastAsia" w:hAnsiTheme="minorEastAsia" w:cstheme="minorEastAsia"/>
                <w:sz w:val="22"/>
              </w:rPr>
              <w:t>含水量</w:t>
            </w:r>
            <w:r>
              <w:rPr>
                <w:rFonts w:hint="eastAsia" w:asciiTheme="minorEastAsia" w:hAnsiTheme="minorEastAsia" w:cstheme="minorEastAsia"/>
              </w:rPr>
              <w:t>（Na＋）</w:t>
            </w:r>
            <w:r>
              <w:rPr>
                <w:rFonts w:hint="eastAsia" w:asciiTheme="minorEastAsia" w:hAnsiTheme="minorEastAsia" w:cstheme="minorEastAsia"/>
                <w:sz w:val="22"/>
              </w:rPr>
              <w:t>45%--50%;</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sz w:val="22"/>
                <w:szCs w:val="22"/>
              </w:rPr>
              <w:t>整球率</w:t>
            </w:r>
            <w:r>
              <w:rPr>
                <w:rFonts w:hint="eastAsia" w:asciiTheme="minorEastAsia" w:hAnsiTheme="minorEastAsia" w:cstheme="minorEastAsia"/>
              </w:rPr>
              <w:t>≥95%。</w:t>
            </w:r>
          </w:p>
          <w:p>
            <w:pPr>
              <w:pStyle w:val="2"/>
              <w:tabs>
                <w:tab w:val="left" w:pos="2020"/>
                <w:tab w:val="center" w:pos="4535"/>
              </w:tabs>
              <w:ind w:firstLine="0" w:firstLineChars="0"/>
              <w:rPr>
                <w:rFonts w:asciiTheme="minorEastAsia" w:hAnsiTheme="minorEastAsia" w:cstheme="minorEastAsia"/>
              </w:rPr>
            </w:pPr>
            <w:r>
              <w:rPr>
                <w:rFonts w:hint="eastAsia" w:asciiTheme="minorEastAsia" w:hAnsiTheme="minorEastAsia" w:cstheme="minorEastAsia"/>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升</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6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vAlign w:val="center"/>
          </w:tcPr>
          <w:p>
            <w:pPr>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反渗透膜</w:t>
            </w:r>
          </w:p>
        </w:tc>
        <w:tc>
          <w:tcPr>
            <w:tcW w:w="2038" w:type="dxa"/>
            <w:shd w:val="clear" w:color="auto" w:fill="auto"/>
            <w:vAlign w:val="center"/>
          </w:tcPr>
          <w:p>
            <w:pPr>
              <w:widowControl/>
              <w:rPr>
                <w:rFonts w:asciiTheme="minorEastAsia" w:hAnsiTheme="minorEastAsia" w:cstheme="minorEastAsia"/>
              </w:rPr>
            </w:pPr>
            <w:r>
              <w:rPr>
                <w:rFonts w:hint="eastAsia" w:asciiTheme="minorEastAsia" w:hAnsiTheme="minorEastAsia" w:cstheme="minorEastAsia"/>
              </w:rPr>
              <w:t>规格：8040</w:t>
            </w:r>
          </w:p>
          <w:p>
            <w:pPr>
              <w:widowControl/>
              <w:jc w:val="left"/>
              <w:rPr>
                <w:rFonts w:asciiTheme="minorEastAsia" w:hAnsiTheme="minorEastAsia" w:cstheme="minorEastAsia"/>
              </w:rPr>
            </w:pPr>
            <w:r>
              <w:rPr>
                <w:rFonts w:hint="eastAsia" w:asciiTheme="minorEastAsia" w:hAnsiTheme="minorEastAsia" w:cstheme="minorEastAsia"/>
              </w:rPr>
              <w:t>单支膜产水量≥1500L/h，脱盐率≥98%。提供相关检测证明文件。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10000.00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shd w:val="clear" w:color="auto" w:fill="auto"/>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PP滤芯</w:t>
            </w:r>
          </w:p>
        </w:tc>
        <w:tc>
          <w:tcPr>
            <w:tcW w:w="2038" w:type="dxa"/>
            <w:shd w:val="clear" w:color="auto" w:fill="auto"/>
            <w:vAlign w:val="center"/>
          </w:tcPr>
          <w:p>
            <w:pPr>
              <w:widowControl/>
              <w:rPr>
                <w:rFonts w:asciiTheme="minorEastAsia" w:hAnsiTheme="minorEastAsia" w:cstheme="minorEastAsia"/>
                <w:kern w:val="0"/>
                <w:szCs w:val="21"/>
              </w:rPr>
            </w:pPr>
            <w:r>
              <w:rPr>
                <w:rFonts w:hint="eastAsia" w:asciiTheme="minorEastAsia" w:hAnsiTheme="minorEastAsia" w:cstheme="minorEastAsia"/>
              </w:rPr>
              <w:t>规格：</w:t>
            </w:r>
            <w:r>
              <w:rPr>
                <w:rFonts w:hint="eastAsia" w:asciiTheme="minorEastAsia" w:hAnsiTheme="minorEastAsia" w:cstheme="minorEastAsia"/>
                <w:kern w:val="0"/>
                <w:szCs w:val="21"/>
              </w:rPr>
              <w:t>20寸</w:t>
            </w:r>
          </w:p>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过滤孔径≤5μ。</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支</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120.00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0" w:hRule="atLeast"/>
        </w:trPr>
        <w:tc>
          <w:tcPr>
            <w:tcW w:w="569" w:type="dxa"/>
            <w:vMerge w:val="continue"/>
            <w:shd w:val="clear" w:color="auto" w:fill="auto"/>
            <w:vAlign w:val="center"/>
          </w:tcPr>
          <w:p>
            <w:pPr>
              <w:widowControl/>
              <w:jc w:val="left"/>
              <w:rPr>
                <w:rFonts w:asciiTheme="minorEastAsia" w:hAnsiTheme="minorEastAsia" w:cstheme="minorEastAsia"/>
                <w:kern w:val="0"/>
                <w:szCs w:val="21"/>
              </w:rPr>
            </w:pPr>
          </w:p>
        </w:tc>
        <w:tc>
          <w:tcPr>
            <w:tcW w:w="2211" w:type="dxa"/>
            <w:vMerge w:val="continue"/>
            <w:vAlign w:val="center"/>
          </w:tcPr>
          <w:p>
            <w:pPr>
              <w:widowControl/>
              <w:jc w:val="left"/>
              <w:rPr>
                <w:rFonts w:asciiTheme="minorEastAsia" w:hAnsiTheme="minorEastAsia" w:cstheme="minorEastAsia"/>
                <w:kern w:val="0"/>
                <w:szCs w:val="21"/>
              </w:rPr>
            </w:pPr>
          </w:p>
        </w:tc>
        <w:tc>
          <w:tcPr>
            <w:tcW w:w="1266"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软水盐</w:t>
            </w:r>
          </w:p>
        </w:tc>
        <w:tc>
          <w:tcPr>
            <w:tcW w:w="2038" w:type="dxa"/>
            <w:shd w:val="clear" w:color="auto" w:fill="auto"/>
            <w:vAlign w:val="center"/>
          </w:tcPr>
          <w:p>
            <w:pPr>
              <w:widowControl/>
              <w:jc w:val="left"/>
              <w:rPr>
                <w:rFonts w:asciiTheme="minorEastAsia" w:hAnsiTheme="minorEastAsia" w:cstheme="minorEastAsia"/>
                <w:kern w:val="0"/>
                <w:szCs w:val="21"/>
              </w:rPr>
            </w:pPr>
            <w:r>
              <w:rPr>
                <w:rFonts w:hint="eastAsia" w:asciiTheme="minorEastAsia" w:hAnsiTheme="minorEastAsia" w:cstheme="minorEastAsia"/>
                <w:kern w:val="0"/>
                <w:szCs w:val="21"/>
              </w:rPr>
              <w:t>氯 化 钠≥ 99.50%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 分/(g/100g) ≤ 1.0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水不溶物/(g/100g)≤ 2.0</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产品规格：Φ16×16mm</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单片重量：3.50～4.00g</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包装形式：PE包装</w:t>
            </w:r>
            <w:r>
              <w:rPr>
                <w:rFonts w:hint="eastAsia" w:asciiTheme="minorEastAsia" w:hAnsiTheme="minorEastAsia" w:cstheme="minorEastAsia"/>
                <w:kern w:val="0"/>
                <w:szCs w:val="21"/>
              </w:rPr>
              <w:br w:type="textWrapping"/>
            </w:r>
            <w:r>
              <w:rPr>
                <w:rFonts w:hint="eastAsia" w:asciiTheme="minorEastAsia" w:hAnsiTheme="minorEastAsia" w:cstheme="minorEastAsia"/>
                <w:kern w:val="0"/>
                <w:szCs w:val="21"/>
              </w:rPr>
              <w:t>包装含量：≥10Kg。</w:t>
            </w:r>
          </w:p>
          <w:p>
            <w:pPr>
              <w:widowControl/>
              <w:jc w:val="left"/>
              <w:rPr>
                <w:rFonts w:asciiTheme="minorEastAsia" w:hAnsiTheme="minorEastAsia" w:cstheme="minorEastAsia"/>
              </w:rPr>
            </w:pPr>
            <w:r>
              <w:rPr>
                <w:rFonts w:hint="eastAsia" w:asciiTheme="minorEastAsia" w:hAnsiTheme="minorEastAsia" w:cstheme="minorEastAsia"/>
                <w:kern w:val="0"/>
                <w:szCs w:val="21"/>
              </w:rPr>
              <w:t>提供相关检测证明文件。</w:t>
            </w:r>
          </w:p>
        </w:tc>
        <w:tc>
          <w:tcPr>
            <w:tcW w:w="828" w:type="dxa"/>
            <w:vAlign w:val="center"/>
          </w:tcPr>
          <w:p>
            <w:pPr>
              <w:widowControl/>
              <w:jc w:val="center"/>
              <w:textAlignment w:val="center"/>
              <w:rPr>
                <w:rFonts w:asciiTheme="minorEastAsia" w:hAnsiTheme="minorEastAsia" w:cstheme="minorEastAsia"/>
                <w:kern w:val="0"/>
                <w:sz w:val="22"/>
              </w:rPr>
            </w:pPr>
            <w:r>
              <w:rPr>
                <w:rFonts w:hint="eastAsia" w:ascii="宋体" w:hAnsi="宋体" w:eastAsia="宋体" w:cs="宋体"/>
                <w:color w:val="000000"/>
                <w:kern w:val="0"/>
                <w:sz w:val="22"/>
              </w:rPr>
              <w:t>袋</w:t>
            </w:r>
          </w:p>
        </w:tc>
        <w:tc>
          <w:tcPr>
            <w:tcW w:w="1610" w:type="dxa"/>
            <w:shd w:val="clear" w:color="auto" w:fill="auto"/>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 w:val="22"/>
              </w:rPr>
              <w:t xml:space="preserve">45.00 </w:t>
            </w:r>
          </w:p>
        </w:tc>
      </w:tr>
    </w:tbl>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备注：“相关检测证明文件”需提供在采购文件中，如未提供则视为无效响应。</w:t>
      </w:r>
    </w:p>
    <w:p>
      <w:pPr>
        <w:spacing w:line="360" w:lineRule="auto"/>
        <w:rPr>
          <w:rFonts w:asciiTheme="minorEastAsia" w:hAnsiTheme="minorEastAsia"/>
          <w:b/>
          <w:bCs/>
          <w:sz w:val="24"/>
          <w:szCs w:val="24"/>
        </w:rPr>
      </w:pPr>
    </w:p>
    <w:p>
      <w:pPr>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、服务要求：</w:t>
      </w:r>
    </w:p>
    <w:p>
      <w:pPr>
        <w:spacing w:line="360" w:lineRule="auto"/>
        <w:jc w:val="left"/>
        <w:rPr>
          <w:rFonts w:asciiTheme="minorEastAsia" w:hAnsiTheme="minorEastAsia"/>
          <w:sz w:val="24"/>
          <w:szCs w:val="24"/>
        </w:rPr>
      </w:pPr>
      <w:r>
        <w:rPr>
          <w:rFonts w:hint="eastAsia" w:asciiTheme="minorEastAsia" w:hAnsiTheme="minorEastAsia"/>
          <w:sz w:val="24"/>
          <w:szCs w:val="24"/>
        </w:rPr>
        <w:t xml:space="preserve">1.保证纯水设备正常使用,产水水质符合各科室用水标准；                                                                                                                                                            2.按照规定更换耗材后保证设备制水水质达标； </w:t>
      </w:r>
    </w:p>
    <w:p>
      <w:pPr>
        <w:spacing w:line="360" w:lineRule="auto"/>
        <w:jc w:val="left"/>
        <w:rPr>
          <w:rFonts w:asciiTheme="minorEastAsia" w:hAnsiTheme="minorEastAsia"/>
          <w:sz w:val="24"/>
          <w:szCs w:val="24"/>
        </w:rPr>
      </w:pPr>
      <w:r>
        <w:rPr>
          <w:rFonts w:hint="eastAsia" w:asciiTheme="minorEastAsia" w:hAnsiTheme="minorEastAsia"/>
          <w:sz w:val="24"/>
          <w:szCs w:val="24"/>
        </w:rPr>
        <w:t>3.纯水设备出现故障，供货单位保证30分钟内电话响应，24小时内排除故障，若需更换设备配件，经设备科及使用科室协同维修工程师共同确认后进行更换，设备维修及配件费用另外协商处理。</w:t>
      </w:r>
    </w:p>
    <w:p>
      <w:pPr>
        <w:spacing w:line="360" w:lineRule="auto"/>
        <w:rPr>
          <w:rFonts w:asciiTheme="minorEastAsia" w:hAnsiTheme="minorEastAsia"/>
          <w:b/>
          <w:bCs/>
          <w:sz w:val="24"/>
          <w:szCs w:val="24"/>
        </w:rPr>
      </w:pPr>
      <w:r>
        <w:rPr>
          <w:rFonts w:hint="eastAsia" w:asciiTheme="minorEastAsia" w:hAnsiTheme="minorEastAsia"/>
          <w:b/>
          <w:bCs/>
          <w:sz w:val="24"/>
          <w:szCs w:val="24"/>
          <w:lang w:eastAsia="zh-CN"/>
        </w:rPr>
        <w:t>三</w:t>
      </w:r>
      <w:r>
        <w:rPr>
          <w:rFonts w:hint="eastAsia" w:asciiTheme="minorEastAsia" w:hAnsiTheme="minorEastAsia"/>
          <w:b/>
          <w:bCs/>
          <w:sz w:val="24"/>
          <w:szCs w:val="24"/>
        </w:rPr>
        <w:t>、商务要求</w:t>
      </w:r>
    </w:p>
    <w:p>
      <w:pPr>
        <w:spacing w:line="360" w:lineRule="auto"/>
        <w:rPr>
          <w:rFonts w:asciiTheme="minorEastAsia" w:hAnsiTheme="minorEastAsia"/>
          <w:sz w:val="24"/>
          <w:szCs w:val="24"/>
        </w:rPr>
      </w:pPr>
      <w:r>
        <w:rPr>
          <w:rFonts w:hint="eastAsia" w:asciiTheme="minorEastAsia" w:hAnsiTheme="minorEastAsia"/>
          <w:sz w:val="24"/>
          <w:szCs w:val="24"/>
        </w:rPr>
        <w:t>1.交货时间：按需供货，接到订货通知单48小时内到达采购人指定地点，如遇紧急情况须保证3小时内送达采购人指定地点。</w:t>
      </w:r>
    </w:p>
    <w:p>
      <w:pPr>
        <w:spacing w:line="360" w:lineRule="auto"/>
        <w:rPr>
          <w:rFonts w:asciiTheme="minorEastAsia" w:hAnsiTheme="minorEastAsia"/>
          <w:sz w:val="24"/>
          <w:szCs w:val="24"/>
        </w:rPr>
      </w:pPr>
      <w:r>
        <w:rPr>
          <w:rFonts w:hint="eastAsia" w:asciiTheme="minorEastAsia" w:hAnsiTheme="minorEastAsia"/>
          <w:sz w:val="24"/>
          <w:szCs w:val="24"/>
        </w:rPr>
        <w:t>2.交货地点：采购人指定地点。</w:t>
      </w:r>
    </w:p>
    <w:p>
      <w:pPr>
        <w:spacing w:line="360" w:lineRule="auto"/>
        <w:rPr>
          <w:rFonts w:asciiTheme="minorEastAsia" w:hAnsiTheme="minorEastAsia"/>
          <w:sz w:val="24"/>
          <w:szCs w:val="24"/>
        </w:rPr>
      </w:pPr>
      <w:r>
        <w:rPr>
          <w:rFonts w:hint="eastAsia" w:asciiTheme="minorEastAsia" w:hAnsiTheme="minorEastAsia"/>
          <w:sz w:val="24"/>
          <w:szCs w:val="24"/>
        </w:rPr>
        <w:t>3.付款方式：</w:t>
      </w:r>
      <w:r>
        <w:rPr>
          <w:rFonts w:hint="eastAsia" w:asciiTheme="minorEastAsia" w:hAnsiTheme="minorEastAsia"/>
          <w:sz w:val="24"/>
          <w:szCs w:val="24"/>
          <w:lang w:eastAsia="zh-CN"/>
        </w:rPr>
        <w:t>按需供货，季度结算</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4.质量要求：按照采购文件技术要求和国家行业相关标准执行。</w:t>
      </w:r>
    </w:p>
    <w:p>
      <w:pPr>
        <w:spacing w:line="360" w:lineRule="auto"/>
        <w:rPr>
          <w:rFonts w:asciiTheme="minorEastAsia" w:hAnsiTheme="minorEastAsia"/>
          <w:sz w:val="24"/>
          <w:szCs w:val="24"/>
        </w:rPr>
      </w:pPr>
      <w:r>
        <w:rPr>
          <w:rFonts w:hint="eastAsia" w:asciiTheme="minorEastAsia" w:hAnsiTheme="minorEastAsia"/>
          <w:sz w:val="24"/>
          <w:szCs w:val="24"/>
        </w:rPr>
        <w:t>5.验收方式及验收标准：成交人与采购人应严格按照按照采购文件技术要求和国家行业相关标准并结合《财政部关于进一步加强政府采购需求和履约验收管理的指导意见》（财库〔2016〕205 号）的要求进行验收。</w:t>
      </w:r>
    </w:p>
    <w:p>
      <w:pPr>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五</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22</w:t>
      </w:r>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bookmarkStart w:id="1" w:name="_GoBack"/>
      <w:bookmarkEnd w:id="1"/>
      <w:r>
        <w:rPr>
          <w:rFonts w:hint="eastAsia" w:cs="宋体-18030" w:asciiTheme="minorEastAsia" w:hAnsiTheme="minorEastAsia"/>
          <w:kern w:val="0"/>
          <w:sz w:val="24"/>
        </w:rPr>
        <w:t>:00（北京时间）。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spacing w:line="360" w:lineRule="auto"/>
        <w:ind w:firstLine="480" w:firstLineChars="200"/>
        <w:rPr>
          <w:rStyle w:val="17"/>
          <w:bCs/>
          <w:color w:val="FF0000"/>
          <w:szCs w:val="22"/>
          <w:shd w:val="clear" w:color="auto" w:fill="FFFFFF"/>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或者未</w:t>
      </w:r>
      <w:r>
        <w:rPr>
          <w:rFonts w:hint="eastAsia" w:cs="宋体-18030" w:asciiTheme="minorEastAsia" w:hAnsiTheme="minorEastAsia"/>
          <w:b/>
          <w:bCs/>
          <w:color w:val="auto"/>
          <w:kern w:val="0"/>
          <w:sz w:val="24"/>
        </w:rPr>
        <w:t>送达</w:t>
      </w:r>
      <w:r>
        <w:rPr>
          <w:rFonts w:hint="eastAsia" w:cs="宋体-18030" w:asciiTheme="minorEastAsia" w:hAnsiTheme="minorEastAsia"/>
          <w:color w:val="auto"/>
          <w:kern w:val="0"/>
          <w:sz w:val="24"/>
        </w:rPr>
        <w:t>指定地点的响应文件，采购人不予受理</w:t>
      </w:r>
      <w:r>
        <w:rPr>
          <w:rFonts w:hint="eastAsia" w:cs="宋体-18030" w:asciiTheme="minorEastAsia" w:hAnsiTheme="minorEastAsia"/>
          <w:kern w:val="0"/>
          <w:sz w:val="24"/>
        </w:rPr>
        <w:t>。</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七</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 资阳市雁江区城东新区蜀乡大道669号</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谭老师</w:t>
      </w:r>
      <w:r>
        <w:rPr>
          <w:rFonts w:hint="eastAsia" w:cs="宋体-18030" w:asciiTheme="minorEastAsia" w:hAnsiTheme="minorEastAsia"/>
          <w:kern w:val="0"/>
          <w:sz w:val="24"/>
        </w:rPr>
        <w:t xml:space="preserve"> </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联系电话：028-26346672</w:t>
      </w:r>
    </w:p>
    <w:p>
      <w:pPr>
        <w:spacing w:line="360" w:lineRule="auto"/>
        <w:rPr>
          <w:rFonts w:cs="宋体-18030" w:asciiTheme="minorEastAsia" w:hAnsiTheme="minorEastAsia"/>
          <w:b/>
          <w:kern w:val="0"/>
          <w:sz w:val="24"/>
          <w:lang w:val="zh-CN"/>
        </w:rPr>
      </w:pP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672"/>
        <w:gridCol w:w="1781"/>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trPr>
        <w:tc>
          <w:tcPr>
            <w:tcW w:w="209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2672"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1781"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97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93" w:type="dxa"/>
            <w:vAlign w:val="center"/>
          </w:tcPr>
          <w:p>
            <w:pPr>
              <w:spacing w:line="360" w:lineRule="auto"/>
              <w:jc w:val="center"/>
              <w:rPr>
                <w:rFonts w:cs="宋体-18030" w:asciiTheme="minorEastAsia" w:hAnsiTheme="minorEastAsia"/>
                <w:kern w:val="0"/>
                <w:sz w:val="24"/>
                <w:lang w:val="zh-CN"/>
              </w:rPr>
            </w:pPr>
          </w:p>
        </w:tc>
        <w:tc>
          <w:tcPr>
            <w:tcW w:w="2672" w:type="dxa"/>
            <w:vAlign w:val="center"/>
          </w:tcPr>
          <w:p>
            <w:pPr>
              <w:spacing w:line="360" w:lineRule="auto"/>
              <w:jc w:val="center"/>
              <w:rPr>
                <w:rFonts w:cs="宋体-18030" w:asciiTheme="minorEastAsia" w:hAnsiTheme="minorEastAsia"/>
                <w:kern w:val="0"/>
                <w:sz w:val="24"/>
                <w:lang w:val="zh-CN"/>
              </w:rPr>
            </w:pPr>
          </w:p>
        </w:tc>
        <w:tc>
          <w:tcPr>
            <w:tcW w:w="1781" w:type="dxa"/>
            <w:vAlign w:val="center"/>
          </w:tcPr>
          <w:p>
            <w:pPr>
              <w:spacing w:line="360" w:lineRule="auto"/>
              <w:jc w:val="center"/>
              <w:rPr>
                <w:rFonts w:cs="宋体-18030" w:asciiTheme="minorEastAsia" w:hAnsiTheme="minorEastAsia"/>
                <w:kern w:val="0"/>
                <w:sz w:val="24"/>
                <w:lang w:val="zh-CN"/>
              </w:rPr>
            </w:pPr>
          </w:p>
        </w:tc>
        <w:tc>
          <w:tcPr>
            <w:tcW w:w="1973"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93" w:type="dxa"/>
            <w:vAlign w:val="center"/>
          </w:tcPr>
          <w:p>
            <w:pPr>
              <w:spacing w:line="360" w:lineRule="auto"/>
              <w:jc w:val="center"/>
              <w:rPr>
                <w:rFonts w:cs="宋体-18030" w:asciiTheme="minorEastAsia" w:hAnsiTheme="minorEastAsia"/>
                <w:kern w:val="0"/>
                <w:sz w:val="24"/>
                <w:lang w:val="zh-CN"/>
              </w:rPr>
            </w:pPr>
          </w:p>
        </w:tc>
        <w:tc>
          <w:tcPr>
            <w:tcW w:w="2672" w:type="dxa"/>
            <w:vAlign w:val="center"/>
          </w:tcPr>
          <w:p>
            <w:pPr>
              <w:spacing w:line="360" w:lineRule="auto"/>
              <w:jc w:val="center"/>
              <w:rPr>
                <w:rFonts w:cs="宋体-18030" w:asciiTheme="minorEastAsia" w:hAnsiTheme="minorEastAsia"/>
                <w:kern w:val="0"/>
                <w:sz w:val="24"/>
                <w:lang w:val="zh-CN"/>
              </w:rPr>
            </w:pPr>
          </w:p>
        </w:tc>
        <w:tc>
          <w:tcPr>
            <w:tcW w:w="1781" w:type="dxa"/>
            <w:vAlign w:val="center"/>
          </w:tcPr>
          <w:p>
            <w:pPr>
              <w:spacing w:line="360" w:lineRule="auto"/>
              <w:jc w:val="center"/>
              <w:rPr>
                <w:rFonts w:cs="宋体-18030" w:asciiTheme="minorEastAsia" w:hAnsiTheme="minorEastAsia"/>
                <w:kern w:val="0"/>
                <w:sz w:val="24"/>
                <w:lang w:val="zh-CN"/>
              </w:rPr>
            </w:pPr>
          </w:p>
        </w:tc>
        <w:tc>
          <w:tcPr>
            <w:tcW w:w="1973"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93" w:type="dxa"/>
            <w:vAlign w:val="center"/>
          </w:tcPr>
          <w:p>
            <w:pPr>
              <w:spacing w:line="360" w:lineRule="auto"/>
              <w:jc w:val="center"/>
              <w:rPr>
                <w:rFonts w:cs="宋体-18030" w:asciiTheme="minorEastAsia" w:hAnsiTheme="minorEastAsia"/>
                <w:kern w:val="0"/>
                <w:sz w:val="24"/>
                <w:lang w:val="zh-CN"/>
              </w:rPr>
            </w:pPr>
          </w:p>
        </w:tc>
        <w:tc>
          <w:tcPr>
            <w:tcW w:w="2672" w:type="dxa"/>
            <w:vAlign w:val="center"/>
          </w:tcPr>
          <w:p>
            <w:pPr>
              <w:spacing w:line="360" w:lineRule="auto"/>
              <w:jc w:val="center"/>
              <w:rPr>
                <w:rFonts w:cs="宋体-18030" w:asciiTheme="minorEastAsia" w:hAnsiTheme="minorEastAsia"/>
                <w:kern w:val="0"/>
                <w:sz w:val="24"/>
                <w:lang w:val="zh-CN"/>
              </w:rPr>
            </w:pPr>
          </w:p>
        </w:tc>
        <w:tc>
          <w:tcPr>
            <w:tcW w:w="1781" w:type="dxa"/>
            <w:vAlign w:val="center"/>
          </w:tcPr>
          <w:p>
            <w:pPr>
              <w:spacing w:line="360" w:lineRule="auto"/>
              <w:jc w:val="center"/>
              <w:rPr>
                <w:rFonts w:cs="宋体-18030" w:asciiTheme="minorEastAsia" w:hAnsiTheme="minorEastAsia"/>
                <w:kern w:val="0"/>
                <w:sz w:val="24"/>
                <w:lang w:val="zh-CN"/>
              </w:rPr>
            </w:pPr>
          </w:p>
        </w:tc>
        <w:tc>
          <w:tcPr>
            <w:tcW w:w="1973"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93" w:type="dxa"/>
            <w:vAlign w:val="center"/>
          </w:tcPr>
          <w:p>
            <w:pPr>
              <w:spacing w:line="360" w:lineRule="auto"/>
              <w:jc w:val="center"/>
              <w:rPr>
                <w:rFonts w:cs="宋体-18030" w:asciiTheme="minorEastAsia" w:hAnsiTheme="minorEastAsia"/>
                <w:kern w:val="0"/>
                <w:sz w:val="24"/>
                <w:lang w:val="zh-CN"/>
              </w:rPr>
            </w:pPr>
          </w:p>
        </w:tc>
        <w:tc>
          <w:tcPr>
            <w:tcW w:w="2672" w:type="dxa"/>
            <w:vAlign w:val="center"/>
          </w:tcPr>
          <w:p>
            <w:pPr>
              <w:spacing w:line="360" w:lineRule="auto"/>
              <w:jc w:val="center"/>
              <w:rPr>
                <w:rFonts w:cs="宋体-18030" w:asciiTheme="minorEastAsia" w:hAnsiTheme="minorEastAsia"/>
                <w:kern w:val="0"/>
                <w:sz w:val="24"/>
                <w:lang w:val="zh-CN"/>
              </w:rPr>
            </w:pPr>
          </w:p>
        </w:tc>
        <w:tc>
          <w:tcPr>
            <w:tcW w:w="1781" w:type="dxa"/>
            <w:vAlign w:val="center"/>
          </w:tcPr>
          <w:p>
            <w:pPr>
              <w:spacing w:line="360" w:lineRule="auto"/>
              <w:jc w:val="center"/>
              <w:rPr>
                <w:rFonts w:cs="宋体-18030" w:asciiTheme="minorEastAsia" w:hAnsiTheme="minorEastAsia"/>
                <w:kern w:val="0"/>
                <w:sz w:val="24"/>
                <w:lang w:val="zh-CN"/>
              </w:rPr>
            </w:pPr>
          </w:p>
        </w:tc>
        <w:tc>
          <w:tcPr>
            <w:tcW w:w="1973"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93" w:type="dxa"/>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2672" w:type="dxa"/>
            <w:vAlign w:val="center"/>
          </w:tcPr>
          <w:p>
            <w:pPr>
              <w:spacing w:line="360" w:lineRule="auto"/>
              <w:jc w:val="center"/>
              <w:rPr>
                <w:rFonts w:cs="宋体-18030" w:asciiTheme="minorEastAsia" w:hAnsiTheme="minorEastAsia"/>
                <w:kern w:val="0"/>
                <w:sz w:val="24"/>
                <w:lang w:val="zh-CN"/>
              </w:rPr>
            </w:pPr>
          </w:p>
        </w:tc>
        <w:tc>
          <w:tcPr>
            <w:tcW w:w="1781" w:type="dxa"/>
            <w:vAlign w:val="center"/>
          </w:tcPr>
          <w:p>
            <w:pPr>
              <w:spacing w:line="360" w:lineRule="auto"/>
              <w:jc w:val="center"/>
              <w:rPr>
                <w:rFonts w:cs="宋体-18030" w:asciiTheme="minorEastAsia" w:hAnsiTheme="minorEastAsia"/>
                <w:kern w:val="0"/>
                <w:sz w:val="24"/>
                <w:lang w:val="zh-CN"/>
              </w:rPr>
            </w:pPr>
          </w:p>
        </w:tc>
        <w:tc>
          <w:tcPr>
            <w:tcW w:w="1973"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2093" w:type="dxa"/>
            <w:vAlign w:val="center"/>
          </w:tcPr>
          <w:p>
            <w:pPr>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单价合计</w:t>
            </w:r>
          </w:p>
        </w:tc>
        <w:tc>
          <w:tcPr>
            <w:tcW w:w="2672" w:type="dxa"/>
            <w:vAlign w:val="center"/>
          </w:tcPr>
          <w:p>
            <w:pPr>
              <w:spacing w:line="360" w:lineRule="auto"/>
              <w:jc w:val="center"/>
              <w:rPr>
                <w:rFonts w:cs="宋体-18030" w:asciiTheme="minorEastAsia" w:hAnsiTheme="minorEastAsia"/>
                <w:kern w:val="0"/>
                <w:sz w:val="24"/>
                <w:lang w:val="zh-CN"/>
              </w:rPr>
            </w:pPr>
          </w:p>
        </w:tc>
        <w:tc>
          <w:tcPr>
            <w:tcW w:w="1781" w:type="dxa"/>
            <w:vAlign w:val="center"/>
          </w:tcPr>
          <w:p>
            <w:pPr>
              <w:spacing w:line="360" w:lineRule="auto"/>
              <w:jc w:val="center"/>
              <w:rPr>
                <w:rFonts w:cs="宋体-18030" w:asciiTheme="minorEastAsia" w:hAnsiTheme="minorEastAsia"/>
                <w:kern w:val="0"/>
                <w:sz w:val="24"/>
                <w:lang w:val="zh-CN"/>
              </w:rPr>
            </w:pPr>
          </w:p>
        </w:tc>
        <w:tc>
          <w:tcPr>
            <w:tcW w:w="1973" w:type="dxa"/>
            <w:vAlign w:val="center"/>
          </w:tcPr>
          <w:p>
            <w:pPr>
              <w:spacing w:line="360" w:lineRule="auto"/>
              <w:jc w:val="center"/>
              <w:rPr>
                <w:rFonts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3"/>
      </w:pPr>
    </w:p>
    <w:p>
      <w:pPr>
        <w:pStyle w:val="23"/>
        <w:ind w:firstLine="480"/>
        <w:rPr>
          <w:rFonts w:ascii="宋体" w:hAnsi="宋体"/>
        </w:rPr>
      </w:pPr>
      <w:r>
        <w:rPr>
          <w:rFonts w:hint="eastAsia" w:ascii="宋体" w:hAnsi="宋体"/>
        </w:rPr>
        <w:t>合同编号：</w:t>
      </w:r>
    </w:p>
    <w:p>
      <w:pPr>
        <w:pStyle w:val="23"/>
        <w:ind w:firstLine="480"/>
        <w:rPr>
          <w:rFonts w:ascii="宋体" w:hAnsi="宋体"/>
        </w:rPr>
      </w:pPr>
      <w:r>
        <w:rPr>
          <w:rFonts w:hint="eastAsia" w:ascii="宋体" w:hAnsi="宋体"/>
        </w:rPr>
        <w:t>签订地点：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3</w:t>
      </w:r>
      <w:r>
        <w:rPr>
          <w:rFonts w:hint="eastAsia" w:ascii="宋体" w:hAnsi="宋体"/>
          <w:color w:val="000000"/>
        </w:rPr>
        <w:t>年   月   日</w:t>
      </w:r>
    </w:p>
    <w:p>
      <w:pPr>
        <w:pStyle w:val="23"/>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3"/>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ascii="宋体" w:hAnsi="宋体" w:eastAsia="宋体" w:cs="宋体"/>
          <w:sz w:val="24"/>
          <w:szCs w:val="24"/>
        </w:rPr>
        <w:t>资阳市雁江区人民医院医用制水设备相关耗材采</w:t>
      </w:r>
      <w:r>
        <w:rPr>
          <w:rFonts w:hint="eastAsia"/>
          <w:sz w:val="24"/>
        </w:rPr>
        <w:t>购项目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numPr>
          <w:ilvl w:val="255"/>
          <w:numId w:val="0"/>
        </w:numPr>
        <w:ind w:firstLine="241" w:firstLineChars="100"/>
        <w:rPr>
          <w:rFonts w:ascii="黑体" w:hAnsi="宋体"/>
          <w:b/>
          <w:color w:val="000000"/>
          <w:sz w:val="24"/>
        </w:rPr>
      </w:pPr>
      <w:r>
        <w:rPr>
          <w:rFonts w:hint="eastAsia" w:ascii="黑体" w:hAnsi="宋体"/>
          <w:b/>
          <w:color w:val="000000"/>
          <w:sz w:val="24"/>
        </w:rPr>
        <w:t>一、合同货物</w:t>
      </w:r>
    </w:p>
    <w:tbl>
      <w:tblPr>
        <w:tblStyle w:val="14"/>
        <w:tblW w:w="851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4"/>
        <w:gridCol w:w="1497"/>
        <w:gridCol w:w="1134"/>
        <w:gridCol w:w="1530"/>
        <w:gridCol w:w="1506"/>
        <w:gridCol w:w="7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2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货物品名</w:t>
            </w:r>
          </w:p>
        </w:tc>
        <w:tc>
          <w:tcPr>
            <w:tcW w:w="14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s="Arial"/>
                <w:color w:val="000000"/>
                <w:szCs w:val="21"/>
              </w:rPr>
              <w:t>单位</w:t>
            </w:r>
          </w:p>
        </w:tc>
        <w:tc>
          <w:tcPr>
            <w:tcW w:w="1530" w:type="dxa"/>
            <w:tcBorders>
              <w:top w:val="single" w:color="auto" w:sz="4" w:space="0"/>
              <w:left w:val="single" w:color="auto" w:sz="4" w:space="0"/>
              <w:bottom w:val="single" w:color="auto" w:sz="4" w:space="0"/>
              <w:right w:val="single" w:color="auto" w:sz="4" w:space="0"/>
            </w:tcBorders>
            <w:vAlign w:val="center"/>
          </w:tcPr>
          <w:p>
            <w:pPr>
              <w:ind w:firstLine="105" w:firstLineChars="50"/>
              <w:jc w:val="center"/>
              <w:rPr>
                <w:rFonts w:ascii="宋体" w:hAnsi="宋体" w:cs="Arial"/>
                <w:color w:val="000000"/>
                <w:szCs w:val="21"/>
              </w:rPr>
            </w:pPr>
            <w:r>
              <w:rPr>
                <w:rFonts w:hint="eastAsia" w:ascii="宋体" w:hAnsi="宋体" w:cs="Arial"/>
                <w:color w:val="000000"/>
                <w:szCs w:val="21"/>
              </w:rPr>
              <w:t>单价（元）</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ind w:leftChars="-22" w:hanging="46" w:hangingChars="22"/>
              <w:jc w:val="center"/>
              <w:rPr>
                <w:rFonts w:ascii="宋体" w:hAnsi="宋体"/>
                <w:color w:val="000000"/>
                <w:szCs w:val="21"/>
              </w:rPr>
            </w:pPr>
            <w:r>
              <w:rPr>
                <w:rFonts w:hint="eastAsia" w:ascii="宋体" w:hAnsi="宋体" w:cs="Arial"/>
                <w:color w:val="000000"/>
                <w:szCs w:val="21"/>
              </w:rPr>
              <w:t>交货期</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4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4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4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4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rPr>
            </w:pP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r>
              <w:rPr>
                <w:rFonts w:hint="eastAsia" w:ascii="宋体" w:hAnsi="宋体" w:eastAsia="宋体" w:cs="宋体"/>
                <w:sz w:val="20"/>
                <w:szCs w:val="20"/>
              </w:rPr>
              <w:t>按需供货</w:t>
            </w: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jc w:val="center"/>
        </w:trPr>
        <w:tc>
          <w:tcPr>
            <w:tcW w:w="207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olor w:val="000000"/>
                <w:sz w:val="24"/>
              </w:rPr>
            </w:pPr>
            <w:r>
              <w:rPr>
                <w:rFonts w:hint="eastAsia" w:ascii="宋体" w:hAnsi="宋体"/>
                <w:color w:val="000000"/>
                <w:sz w:val="24"/>
              </w:rPr>
              <w:t>合计</w:t>
            </w:r>
          </w:p>
        </w:tc>
        <w:tc>
          <w:tcPr>
            <w:tcW w:w="14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150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c>
          <w:tcPr>
            <w:tcW w:w="778"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eastAsia="宋体" w:cs="宋体"/>
                <w:sz w:val="20"/>
                <w:szCs w:val="20"/>
              </w:rPr>
            </w:pPr>
          </w:p>
        </w:tc>
      </w:tr>
    </w:tbl>
    <w:p>
      <w:pPr>
        <w:spacing w:line="400" w:lineRule="exact"/>
        <w:ind w:firstLine="241" w:firstLineChars="100"/>
        <w:rPr>
          <w:rFonts w:ascii="黑体" w:hAnsi="宋体"/>
          <w:b/>
          <w:color w:val="000000"/>
          <w:sz w:val="24"/>
        </w:rPr>
      </w:pPr>
      <w:r>
        <w:rPr>
          <w:rFonts w:hint="eastAsia" w:ascii="黑体" w:hAnsi="宋体"/>
          <w:b/>
          <w:color w:val="000000"/>
          <w:sz w:val="24"/>
        </w:rPr>
        <w:t>二、合同价格</w:t>
      </w:r>
    </w:p>
    <w:p>
      <w:pPr>
        <w:pStyle w:val="7"/>
        <w:spacing w:line="400" w:lineRule="exact"/>
        <w:ind w:firstLine="480"/>
        <w:rPr>
          <w:color w:val="000000"/>
          <w:sz w:val="24"/>
        </w:rPr>
      </w:pPr>
      <w:r>
        <w:rPr>
          <w:rFonts w:hint="eastAsia"/>
          <w:color w:val="000000"/>
          <w:sz w:val="24"/>
        </w:rPr>
        <w:t>本项目为单价报价形式，供货期限为365日，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tabs>
          <w:tab w:val="left" w:pos="2145"/>
        </w:tabs>
        <w:ind w:firstLine="241" w:firstLineChars="100"/>
        <w:rPr>
          <w:rFonts w:ascii="黑体" w:hAnsi="宋体"/>
          <w:b/>
          <w:color w:val="000000"/>
          <w:sz w:val="24"/>
        </w:rPr>
      </w:pPr>
      <w:r>
        <w:rPr>
          <w:rFonts w:hint="eastAsia" w:ascii="黑体" w:hAnsi="宋体"/>
          <w:b/>
          <w:color w:val="000000"/>
          <w:sz w:val="24"/>
        </w:rPr>
        <w:t>三、质量要求</w:t>
      </w:r>
      <w:r>
        <w:rPr>
          <w:rFonts w:ascii="黑体" w:hAnsi="宋体"/>
          <w:b/>
          <w:color w:val="000000"/>
          <w:sz w:val="24"/>
        </w:rPr>
        <w:tab/>
      </w:r>
    </w:p>
    <w:p>
      <w:pPr>
        <w:pStyle w:val="23"/>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3"/>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3"/>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3"/>
        <w:ind w:firstLine="480"/>
        <w:rPr>
          <w:rFonts w:ascii="宋体" w:hAnsi="宋体"/>
          <w:color w:val="000000"/>
        </w:rPr>
      </w:pPr>
      <w:r>
        <w:rPr>
          <w:rFonts w:hint="eastAsia" w:ascii="宋体" w:hAnsi="宋体"/>
          <w:color w:val="000000"/>
        </w:rPr>
        <w:t>1.合同签订后365日内，按采购人供货计划分批次完成，接到送货通知后48小时内送货到指定地点，</w:t>
      </w:r>
      <w:r>
        <w:rPr>
          <w:rFonts w:hint="eastAsia" w:asciiTheme="minorEastAsia" w:hAnsiTheme="minorEastAsia" w:eastAsiaTheme="minorEastAsia"/>
        </w:rPr>
        <w:t>如遇紧急情况须保证3小时内送达采购人指定地点</w:t>
      </w:r>
      <w:r>
        <w:rPr>
          <w:rFonts w:hint="eastAsia" w:ascii="宋体" w:hAnsi="宋体"/>
          <w:color w:val="000000"/>
        </w:rPr>
        <w:t>。如因采购人特殊要求，则交货期顺延。</w:t>
      </w:r>
    </w:p>
    <w:p>
      <w:pPr>
        <w:pStyle w:val="23"/>
        <w:ind w:firstLine="480"/>
        <w:rPr>
          <w:rFonts w:ascii="宋体" w:hAnsi="宋体"/>
          <w:color w:val="000000"/>
        </w:rPr>
      </w:pPr>
      <w:r>
        <w:rPr>
          <w:rFonts w:hint="eastAsia" w:ascii="宋体" w:hAnsi="宋体"/>
          <w:color w:val="000000"/>
        </w:rPr>
        <w:t>2.验收由甲方组织，乙方配合进行：</w:t>
      </w:r>
    </w:p>
    <w:p>
      <w:pPr>
        <w:pStyle w:val="23"/>
        <w:ind w:firstLine="480"/>
        <w:rPr>
          <w:rFonts w:ascii="宋体" w:hAnsi="宋体"/>
          <w:color w:val="000000"/>
        </w:rPr>
      </w:pPr>
      <w:r>
        <w:rPr>
          <w:rFonts w:ascii="宋体" w:hAnsi="宋体"/>
          <w:color w:val="000000"/>
        </w:rPr>
        <w:t xml:space="preserve">(1) </w:t>
      </w:r>
      <w:r>
        <w:rPr>
          <w:rFonts w:hint="eastAsia" w:ascii="宋体" w:hAnsi="宋体"/>
          <w:color w:val="000000"/>
        </w:rPr>
        <w:t>货物在乙方每批次供货完毕后2日内验收,如质量验收合格，双方签署《验收报告》交付使用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3"/>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3"/>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3"/>
        <w:ind w:firstLine="480"/>
        <w:rPr>
          <w:rFonts w:ascii="宋体" w:hAnsi="宋体"/>
          <w:color w:val="000000"/>
        </w:rPr>
      </w:pPr>
      <w:r>
        <w:rPr>
          <w:rFonts w:ascii="宋体" w:hAnsi="宋体"/>
          <w:color w:val="000000"/>
        </w:rPr>
        <w:t>3</w:t>
      </w:r>
      <w:r>
        <w:rPr>
          <w:rFonts w:hint="eastAsia" w:ascii="宋体" w:hAnsi="宋体"/>
          <w:color w:val="000000"/>
        </w:rPr>
        <w:t>.货物每批次供货完毕后15日内，甲方无故不进行验收工作并已使用货物的，视同验收合格。</w:t>
      </w:r>
    </w:p>
    <w:p>
      <w:pPr>
        <w:pStyle w:val="23"/>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3"/>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3"/>
        <w:ind w:firstLine="480"/>
        <w:rPr>
          <w:rFonts w:ascii="宋体" w:hAnsi="宋体"/>
          <w:color w:val="000000"/>
        </w:rPr>
      </w:pPr>
      <w:r>
        <w:rPr>
          <w:rFonts w:hint="eastAsia" w:ascii="宋体" w:hAnsi="宋体"/>
          <w:color w:val="000000"/>
        </w:rPr>
        <w:t>1.</w:t>
      </w:r>
      <w:r>
        <w:rPr>
          <w:rFonts w:hint="eastAsia" w:ascii="宋体" w:hAnsi="宋体"/>
          <w:color w:val="000000"/>
          <w:lang w:eastAsia="zh-CN"/>
        </w:rPr>
        <w:t>按需供货，季度结算</w:t>
      </w:r>
      <w:r>
        <w:rPr>
          <w:rFonts w:hint="eastAsia" w:ascii="宋体" w:hAnsi="宋体"/>
          <w:color w:val="000000"/>
        </w:rPr>
        <w:t>（如产品出现质量问题则支付期相应顺延）；</w:t>
      </w:r>
    </w:p>
    <w:p>
      <w:pPr>
        <w:pStyle w:val="23"/>
        <w:ind w:firstLine="480"/>
        <w:rPr>
          <w:rFonts w:ascii="宋体" w:hAnsi="宋体"/>
          <w:color w:val="000000"/>
        </w:rPr>
      </w:pPr>
      <w:r>
        <w:rPr>
          <w:rFonts w:hint="eastAsia" w:ascii="宋体" w:hAnsi="宋体"/>
          <w:color w:val="000000"/>
        </w:rPr>
        <w:t>2. 甲方每次付款前，乙方须一次性提供全额、正式增值税发票，如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3"/>
        <w:ind w:firstLine="482"/>
        <w:rPr>
          <w:rFonts w:ascii="黑体"/>
          <w:b/>
        </w:rPr>
      </w:pPr>
      <w:r>
        <w:rPr>
          <w:rFonts w:hint="eastAsia" w:ascii="黑体"/>
          <w:b/>
        </w:rPr>
        <w:t>六、售后服务</w:t>
      </w:r>
    </w:p>
    <w:p>
      <w:pPr>
        <w:pStyle w:val="23"/>
        <w:ind w:firstLine="480"/>
        <w:rPr>
          <w:rFonts w:ascii="宋体" w:hAnsi="宋体"/>
          <w:color w:val="000000"/>
        </w:rPr>
      </w:pPr>
      <w:r>
        <w:rPr>
          <w:rFonts w:ascii="宋体" w:hAnsi="宋体"/>
          <w:color w:val="000000"/>
        </w:rPr>
        <w:t>1</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3"/>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3"/>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3"/>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3"/>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3"/>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3"/>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3"/>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3"/>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3"/>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3"/>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3"/>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3"/>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19"/>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3"/>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D23E"/>
    <w:multiLevelType w:val="singleLevel"/>
    <w:tmpl w:val="0D4AD2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YwNGQ2MzM2NDFlYjkwNmFlMmQxMzkyMjk1Mjg2ODI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4C23D0C"/>
    <w:rsid w:val="050968D3"/>
    <w:rsid w:val="063620C9"/>
    <w:rsid w:val="0B7625FD"/>
    <w:rsid w:val="151B3CF1"/>
    <w:rsid w:val="156C442B"/>
    <w:rsid w:val="164A3328"/>
    <w:rsid w:val="18934843"/>
    <w:rsid w:val="1CE86C7E"/>
    <w:rsid w:val="1F281065"/>
    <w:rsid w:val="207665B0"/>
    <w:rsid w:val="2A3D587C"/>
    <w:rsid w:val="2E6C60DE"/>
    <w:rsid w:val="342C36FD"/>
    <w:rsid w:val="361D455A"/>
    <w:rsid w:val="3C9E34DC"/>
    <w:rsid w:val="3CE76008"/>
    <w:rsid w:val="3FF0557C"/>
    <w:rsid w:val="4E023FB5"/>
    <w:rsid w:val="505676E2"/>
    <w:rsid w:val="50863A39"/>
    <w:rsid w:val="555B6681"/>
    <w:rsid w:val="58CA6D6C"/>
    <w:rsid w:val="590F06B1"/>
    <w:rsid w:val="5A42692C"/>
    <w:rsid w:val="62705B39"/>
    <w:rsid w:val="6639773D"/>
    <w:rsid w:val="66F0488D"/>
    <w:rsid w:val="6DB45476"/>
    <w:rsid w:val="6FB6011E"/>
    <w:rsid w:val="70115646"/>
    <w:rsid w:val="733D427B"/>
    <w:rsid w:val="74CB3468"/>
    <w:rsid w:val="79E14D78"/>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5"/>
    <w:link w:val="28"/>
    <w:unhideWhenUsed/>
    <w:qFormat/>
    <w:uiPriority w:val="99"/>
    <w:pPr>
      <w:ind w:firstLine="420" w:firstLineChars="100"/>
    </w:pPr>
  </w:style>
  <w:style w:type="paragraph" w:styleId="3">
    <w:name w:val="Body Text"/>
    <w:basedOn w:val="1"/>
    <w:next w:val="4"/>
    <w:link w:val="24"/>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qFormat/>
    <w:uiPriority w:val="0"/>
    <w:pPr>
      <w:spacing w:line="480" w:lineRule="auto"/>
      <w:ind w:firstLine="600"/>
    </w:pPr>
    <w:rPr>
      <w:sz w:val="28"/>
    </w:rPr>
  </w:style>
  <w:style w:type="paragraph" w:styleId="7">
    <w:name w:val="Normal Indent"/>
    <w:basedOn w:val="1"/>
    <w:link w:val="21"/>
    <w:qFormat/>
    <w:uiPriority w:val="0"/>
    <w:pPr>
      <w:ind w:firstLine="420" w:firstLineChars="200"/>
    </w:pPr>
    <w:rPr>
      <w:rFonts w:ascii="Times New Roman" w:hAnsi="Times New Roman" w:eastAsia="宋体" w:cs="Times New Roman"/>
      <w:szCs w:val="24"/>
    </w:rPr>
  </w:style>
  <w:style w:type="paragraph" w:styleId="8">
    <w:name w:val="annotation text"/>
    <w:basedOn w:val="1"/>
    <w:link w:val="26"/>
    <w:semiHidden/>
    <w:unhideWhenUsed/>
    <w:qFormat/>
    <w:uiPriority w:val="99"/>
    <w:pPr>
      <w:jc w:val="left"/>
    </w:pPr>
  </w:style>
  <w:style w:type="paragraph" w:styleId="9">
    <w:name w:val="Plain Text"/>
    <w:basedOn w:val="1"/>
    <w:qFormat/>
    <w:uiPriority w:val="0"/>
    <w:pPr>
      <w:spacing w:line="360" w:lineRule="auto"/>
    </w:pPr>
    <w:rPr>
      <w:rFonts w:ascii="宋体" w:hAnsi="Courier New"/>
      <w:sz w:val="24"/>
    </w:rPr>
  </w:style>
  <w:style w:type="paragraph" w:styleId="10">
    <w:name w:val="Balloon Text"/>
    <w:basedOn w:val="1"/>
    <w:link w:val="20"/>
    <w:semiHidden/>
    <w:unhideWhenUsed/>
    <w:qFormat/>
    <w:uiPriority w:val="99"/>
    <w:rPr>
      <w:sz w:val="18"/>
      <w:szCs w:val="18"/>
    </w:rPr>
  </w:style>
  <w:style w:type="paragraph" w:styleId="11">
    <w:name w:val="footer"/>
    <w:basedOn w:val="1"/>
    <w:link w:val="31"/>
    <w:semiHidden/>
    <w:unhideWhenUsed/>
    <w:qFormat/>
    <w:uiPriority w:val="99"/>
    <w:pPr>
      <w:tabs>
        <w:tab w:val="center" w:pos="4153"/>
        <w:tab w:val="right" w:pos="8306"/>
      </w:tabs>
      <w:snapToGrid w:val="0"/>
      <w:jc w:val="left"/>
    </w:pPr>
    <w:rPr>
      <w:sz w:val="18"/>
      <w:szCs w:val="18"/>
    </w:rPr>
  </w:style>
  <w:style w:type="paragraph" w:styleId="12">
    <w:name w:val="header"/>
    <w:basedOn w:val="1"/>
    <w:link w:val="3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7"/>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22"/>
    <w:rPr>
      <w:b/>
    </w:rPr>
  </w:style>
  <w:style w:type="character" w:styleId="18">
    <w:name w:val="annotation reference"/>
    <w:basedOn w:val="16"/>
    <w:semiHidden/>
    <w:unhideWhenUsed/>
    <w:qFormat/>
    <w:uiPriority w:val="99"/>
    <w:rPr>
      <w:sz w:val="21"/>
      <w:szCs w:val="21"/>
    </w:rPr>
  </w:style>
  <w:style w:type="paragraph" w:styleId="19">
    <w:name w:val="List Paragraph"/>
    <w:basedOn w:val="1"/>
    <w:link w:val="22"/>
    <w:qFormat/>
    <w:uiPriority w:val="0"/>
    <w:pPr>
      <w:ind w:firstLine="420" w:firstLineChars="200"/>
    </w:pPr>
  </w:style>
  <w:style w:type="character" w:customStyle="1" w:styleId="20">
    <w:name w:val="批注框文本 Char"/>
    <w:basedOn w:val="16"/>
    <w:link w:val="10"/>
    <w:semiHidden/>
    <w:qFormat/>
    <w:uiPriority w:val="99"/>
    <w:rPr>
      <w:sz w:val="18"/>
      <w:szCs w:val="18"/>
    </w:rPr>
  </w:style>
  <w:style w:type="character" w:customStyle="1" w:styleId="21">
    <w:name w:val="正文缩进 Char"/>
    <w:link w:val="7"/>
    <w:qFormat/>
    <w:uiPriority w:val="0"/>
    <w:rPr>
      <w:rFonts w:ascii="Times New Roman" w:hAnsi="Times New Roman" w:eastAsia="宋体" w:cs="Times New Roman"/>
      <w:szCs w:val="24"/>
    </w:rPr>
  </w:style>
  <w:style w:type="character" w:customStyle="1" w:styleId="22">
    <w:name w:val="列出段落 Char"/>
    <w:link w:val="19"/>
    <w:qFormat/>
    <w:uiPriority w:val="0"/>
  </w:style>
  <w:style w:type="paragraph" w:customStyle="1" w:styleId="23">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4">
    <w:name w:val="正文文本 Char"/>
    <w:link w:val="3"/>
    <w:qFormat/>
    <w:locked/>
    <w:uiPriority w:val="99"/>
    <w:rPr>
      <w:szCs w:val="24"/>
    </w:rPr>
  </w:style>
  <w:style w:type="character" w:customStyle="1" w:styleId="25">
    <w:name w:val="正文文本 Char1"/>
    <w:basedOn w:val="16"/>
    <w:semiHidden/>
    <w:qFormat/>
    <w:uiPriority w:val="99"/>
  </w:style>
  <w:style w:type="character" w:customStyle="1" w:styleId="26">
    <w:name w:val="批注文字 Char"/>
    <w:basedOn w:val="16"/>
    <w:link w:val="8"/>
    <w:semiHidden/>
    <w:qFormat/>
    <w:uiPriority w:val="99"/>
  </w:style>
  <w:style w:type="character" w:customStyle="1" w:styleId="27">
    <w:name w:val="批注主题 Char"/>
    <w:basedOn w:val="26"/>
    <w:link w:val="13"/>
    <w:semiHidden/>
    <w:qFormat/>
    <w:uiPriority w:val="99"/>
    <w:rPr>
      <w:b/>
      <w:bCs/>
    </w:rPr>
  </w:style>
  <w:style w:type="character" w:customStyle="1" w:styleId="28">
    <w:name w:val="正文首行缩进 Char"/>
    <w:link w:val="2"/>
    <w:qFormat/>
    <w:uiPriority w:val="0"/>
    <w:rPr>
      <w:rFonts w:hint="default" w:ascii="Calibri" w:hAnsi="Calibri" w:eastAsia="宋体" w:cs="Times New Roman"/>
      <w:kern w:val="2"/>
      <w:sz w:val="21"/>
      <w:szCs w:val="22"/>
    </w:rPr>
  </w:style>
  <w:style w:type="paragraph" w:customStyle="1" w:styleId="29">
    <w:name w:val="Table Paragraph"/>
    <w:basedOn w:val="1"/>
    <w:qFormat/>
    <w:uiPriority w:val="99"/>
    <w:rPr>
      <w:rFonts w:ascii="宋体" w:hAnsi="宋体" w:cs="宋体"/>
      <w:lang w:val="zh-CN"/>
    </w:rPr>
  </w:style>
  <w:style w:type="character" w:customStyle="1" w:styleId="30">
    <w:name w:val="页眉 Char"/>
    <w:basedOn w:val="16"/>
    <w:link w:val="12"/>
    <w:semiHidden/>
    <w:qFormat/>
    <w:uiPriority w:val="99"/>
    <w:rPr>
      <w:rFonts w:asciiTheme="minorHAnsi" w:hAnsiTheme="minorHAnsi" w:eastAsiaTheme="minorEastAsia" w:cstheme="minorBidi"/>
      <w:kern w:val="2"/>
      <w:sz w:val="18"/>
      <w:szCs w:val="18"/>
    </w:rPr>
  </w:style>
  <w:style w:type="character" w:customStyle="1" w:styleId="31">
    <w:name w:val="页脚 Char"/>
    <w:basedOn w:val="16"/>
    <w:link w:val="11"/>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1048</Words>
  <Characters>5978</Characters>
  <Lines>49</Lines>
  <Paragraphs>14</Paragraphs>
  <TotalTime>85</TotalTime>
  <ScaleCrop>false</ScaleCrop>
  <LinksUpToDate>false</LinksUpToDate>
  <CharactersWithSpaces>7012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你好小平</cp:lastModifiedBy>
  <cp:lastPrinted>2021-10-12T08:20:00Z</cp:lastPrinted>
  <dcterms:modified xsi:type="dcterms:W3CDTF">2023-12-19T08:30:43Z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D2CD5679B1544A6680DEB91BF83B5D97</vt:lpwstr>
  </property>
</Properties>
</file>