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heme="minorEastAsia" w:hAnsiTheme="minorEastAsia"/>
          <w:b/>
          <w:bCs/>
          <w:sz w:val="36"/>
          <w:szCs w:val="36"/>
        </w:rPr>
      </w:pPr>
      <w:r>
        <w:rPr>
          <w:rFonts w:hint="eastAsia" w:asciiTheme="minorEastAsia" w:hAnsiTheme="minorEastAsia"/>
          <w:b/>
          <w:bCs/>
          <w:sz w:val="36"/>
          <w:szCs w:val="36"/>
        </w:rPr>
        <w:t>资阳市雁江区人民医院</w:t>
      </w:r>
    </w:p>
    <w:p>
      <w:pPr>
        <w:spacing w:line="660" w:lineRule="exact"/>
        <w:jc w:val="center"/>
        <w:rPr>
          <w:rFonts w:asciiTheme="minorEastAsia" w:hAnsiTheme="minorEastAsia"/>
          <w:b/>
          <w:bCs/>
          <w:sz w:val="36"/>
          <w:szCs w:val="36"/>
        </w:rPr>
      </w:pPr>
      <w:r>
        <w:rPr>
          <w:rFonts w:hint="eastAsia" w:asciiTheme="minorEastAsia" w:hAnsiTheme="minorEastAsia"/>
          <w:b/>
          <w:bCs/>
          <w:sz w:val="36"/>
          <w:szCs w:val="36"/>
          <w:lang w:eastAsia="zh-CN"/>
        </w:rPr>
        <w:t>防雷接地施工</w:t>
      </w:r>
      <w:r>
        <w:rPr>
          <w:rFonts w:hint="eastAsia" w:asciiTheme="minorEastAsia" w:hAnsiTheme="minorEastAsia"/>
          <w:b/>
          <w:bCs/>
          <w:sz w:val="36"/>
          <w:szCs w:val="36"/>
        </w:rPr>
        <w:t>询价采购需求</w:t>
      </w:r>
    </w:p>
    <w:p>
      <w:pPr>
        <w:spacing w:line="360" w:lineRule="auto"/>
        <w:rPr>
          <w:rFonts w:asciiTheme="minorEastAsia" w:hAnsiTheme="minorEastAsia"/>
          <w:sz w:val="36"/>
          <w:szCs w:val="36"/>
        </w:rPr>
      </w:pPr>
    </w:p>
    <w:p>
      <w:pPr>
        <w:pStyle w:val="15"/>
        <w:numPr>
          <w:ilvl w:val="0"/>
          <w:numId w:val="0"/>
        </w:numPr>
        <w:spacing w:line="360" w:lineRule="auto"/>
        <w:ind w:leftChars="0" w:firstLine="482" w:firstLineChars="200"/>
        <w:rPr>
          <w:rFonts w:hint="eastAsia" w:asciiTheme="minorEastAsia" w:hAnsiTheme="minorEastAsia"/>
          <w:b/>
          <w:sz w:val="24"/>
          <w:szCs w:val="24"/>
        </w:rPr>
      </w:pPr>
      <w:r>
        <w:rPr>
          <w:rFonts w:hint="eastAsia" w:asciiTheme="minorEastAsia" w:hAnsiTheme="minorEastAsia"/>
          <w:b/>
          <w:sz w:val="24"/>
          <w:szCs w:val="24"/>
          <w:lang w:eastAsia="zh-CN"/>
        </w:rPr>
        <w:t>一、项目</w:t>
      </w:r>
      <w:r>
        <w:rPr>
          <w:rFonts w:hint="eastAsia" w:asciiTheme="minorEastAsia" w:hAnsiTheme="minorEastAsia"/>
          <w:b/>
          <w:sz w:val="24"/>
          <w:szCs w:val="24"/>
        </w:rPr>
        <w:t>要求及其他相关要求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sz w:val="24"/>
          <w:szCs w:val="24"/>
          <w:lang w:val="en-US" w:eastAsia="zh-CN"/>
        </w:rPr>
        <w:t>本项目最高限价2.80万元。</w:t>
      </w:r>
      <w:bookmarkStart w:id="1" w:name="_GoBack"/>
      <w:bookmarkEnd w:id="1"/>
    </w:p>
    <w:p>
      <w:pPr>
        <w:pStyle w:val="13"/>
        <w:numPr>
          <w:ilvl w:val="0"/>
          <w:numId w:val="0"/>
        </w:numPr>
        <w:spacing w:line="360" w:lineRule="auto"/>
        <w:ind w:firstLine="480" w:firstLineChars="200"/>
        <w:rPr>
          <w:rFonts w:hint="eastAsia"/>
        </w:rPr>
      </w:pPr>
      <w:r>
        <w:rPr>
          <w:rFonts w:hint="eastAsia" w:asciiTheme="minorEastAsia" w:hAnsi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2"/>
          <w:sz w:val="24"/>
          <w:szCs w:val="24"/>
          <w:lang w:val="en-US" w:eastAsia="zh-CN" w:bidi="ar-SA"/>
        </w:rPr>
        <w:t>.采</w:t>
      </w:r>
      <w:r>
        <w:rPr>
          <w:rFonts w:hint="eastAsia"/>
          <w:lang w:val="en-US" w:eastAsia="zh-CN"/>
        </w:rPr>
        <w:t>购内容</w:t>
      </w:r>
    </w:p>
    <w:tbl>
      <w:tblPr>
        <w:tblStyle w:val="9"/>
        <w:tblW w:w="8121" w:type="dxa"/>
        <w:tblInd w:w="0" w:type="dxa"/>
        <w:shd w:val="clear" w:color="auto" w:fill="auto"/>
        <w:tblLayout w:type="fixed"/>
        <w:tblCellMar>
          <w:top w:w="0" w:type="dxa"/>
          <w:left w:w="0" w:type="dxa"/>
          <w:bottom w:w="0" w:type="dxa"/>
          <w:right w:w="0" w:type="dxa"/>
        </w:tblCellMar>
      </w:tblPr>
      <w:tblGrid>
        <w:gridCol w:w="492"/>
        <w:gridCol w:w="1315"/>
        <w:gridCol w:w="1529"/>
        <w:gridCol w:w="1815"/>
        <w:gridCol w:w="1545"/>
        <w:gridCol w:w="1425"/>
      </w:tblGrid>
      <w:tr>
        <w:tblPrEx>
          <w:shd w:val="clear" w:color="auto" w:fill="auto"/>
          <w:tblCellMar>
            <w:top w:w="0" w:type="dxa"/>
            <w:left w:w="0" w:type="dxa"/>
            <w:bottom w:w="0" w:type="dxa"/>
            <w:right w:w="0" w:type="dxa"/>
          </w:tblCellMar>
        </w:tblPrEx>
        <w:trPr>
          <w:trHeight w:val="12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防雷接地点</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设备数量（个）</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材料名称型号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预计材料数量（米）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4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金属爬梯</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5X5热镀锌扁铁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lang w:eastAsia="zh-CN"/>
              </w:rPr>
            </w:pPr>
            <w:r>
              <w:rPr>
                <w:rFonts w:hint="eastAsia" w:ascii="方正仿宋简体" w:hAnsi="方正仿宋简体" w:eastAsia="方正仿宋简体" w:cs="方正仿宋简体"/>
                <w:i w:val="0"/>
                <w:color w:val="000000"/>
                <w:sz w:val="24"/>
                <w:szCs w:val="24"/>
                <w:u w:val="none"/>
                <w:lang w:eastAsia="zh-CN"/>
              </w:rPr>
              <w:t>含主材、辅材、人工、二次搬运等所有费用</w:t>
            </w:r>
          </w:p>
        </w:tc>
      </w:tr>
      <w:tr>
        <w:tblPrEx>
          <w:tblCellMar>
            <w:top w:w="0" w:type="dxa"/>
            <w:left w:w="0" w:type="dxa"/>
            <w:bottom w:w="0" w:type="dxa"/>
            <w:right w:w="0" w:type="dxa"/>
          </w:tblCellMar>
        </w:tblPrEx>
        <w:trPr>
          <w:trHeight w:val="64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梢棚风机</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5X5热镀锌扁铁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sz w:val="24"/>
                <w:szCs w:val="24"/>
                <w:u w:val="none"/>
                <w:lang w:eastAsia="zh-CN"/>
              </w:rPr>
              <w:t>含主材、辅材、人工、二次搬运等所有费用</w:t>
            </w:r>
          </w:p>
        </w:tc>
      </w:tr>
      <w:tr>
        <w:tblPrEx>
          <w:tblCellMar>
            <w:top w:w="0" w:type="dxa"/>
            <w:left w:w="0" w:type="dxa"/>
            <w:bottom w:w="0" w:type="dxa"/>
            <w:right w:w="0" w:type="dxa"/>
          </w:tblCellMar>
        </w:tblPrEx>
        <w:trPr>
          <w:trHeight w:val="64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热水机组</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5X5热镀锌扁铁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85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sz w:val="24"/>
                <w:szCs w:val="24"/>
                <w:u w:val="none"/>
                <w:lang w:eastAsia="zh-CN"/>
              </w:rPr>
              <w:t>含主材、辅材、人工、二次搬运等所有费用</w:t>
            </w:r>
          </w:p>
        </w:tc>
      </w:tr>
      <w:tr>
        <w:tblPrEx>
          <w:tblCellMar>
            <w:top w:w="0" w:type="dxa"/>
            <w:left w:w="0" w:type="dxa"/>
            <w:bottom w:w="0" w:type="dxa"/>
            <w:right w:w="0" w:type="dxa"/>
          </w:tblCellMar>
        </w:tblPrEx>
        <w:trPr>
          <w:trHeight w:val="64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风帽</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5X5热镀锌扁铁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sz w:val="24"/>
                <w:szCs w:val="24"/>
                <w:u w:val="none"/>
                <w:lang w:eastAsia="zh-CN"/>
              </w:rPr>
              <w:t>含主材、辅材、人工、二次搬运等所有费用</w:t>
            </w:r>
          </w:p>
        </w:tc>
      </w:tr>
      <w:tr>
        <w:tblPrEx>
          <w:tblCellMar>
            <w:top w:w="0" w:type="dxa"/>
            <w:left w:w="0" w:type="dxa"/>
            <w:bottom w:w="0" w:type="dxa"/>
            <w:right w:w="0" w:type="dxa"/>
          </w:tblCellMar>
        </w:tblPrEx>
        <w:trPr>
          <w:trHeight w:val="64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射灯</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5X5热镀锌扁铁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85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sz w:val="24"/>
                <w:szCs w:val="24"/>
                <w:u w:val="none"/>
                <w:lang w:eastAsia="zh-CN"/>
              </w:rPr>
              <w:t>含主材、辅材、人工、二次搬运等所有费用</w:t>
            </w:r>
          </w:p>
        </w:tc>
      </w:tr>
      <w:tr>
        <w:tblPrEx>
          <w:tblCellMar>
            <w:top w:w="0" w:type="dxa"/>
            <w:left w:w="0" w:type="dxa"/>
            <w:bottom w:w="0" w:type="dxa"/>
            <w:right w:w="0" w:type="dxa"/>
          </w:tblCellMar>
        </w:tblPrEx>
        <w:trPr>
          <w:trHeight w:val="64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电梯机房</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5X5热镀锌扁铁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sz w:val="24"/>
                <w:szCs w:val="24"/>
                <w:u w:val="none"/>
                <w:lang w:eastAsia="zh-CN"/>
              </w:rPr>
              <w:t>含主材、辅材、人工、二次搬运等所有费用</w:t>
            </w:r>
          </w:p>
        </w:tc>
      </w:tr>
      <w:tr>
        <w:tblPrEx>
          <w:tblCellMar>
            <w:top w:w="0" w:type="dxa"/>
            <w:left w:w="0" w:type="dxa"/>
            <w:bottom w:w="0" w:type="dxa"/>
            <w:right w:w="0" w:type="dxa"/>
          </w:tblCellMar>
        </w:tblPrEx>
        <w:trPr>
          <w:trHeight w:val="12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屋面引下接地点</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5X5热镀锌扁铁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sz w:val="24"/>
                <w:szCs w:val="24"/>
                <w:u w:val="none"/>
                <w:lang w:eastAsia="zh-CN"/>
              </w:rPr>
              <w:t>含主材、辅材、人工、二次搬运等所有费用</w:t>
            </w:r>
          </w:p>
        </w:tc>
      </w:tr>
      <w:tr>
        <w:tblPrEx>
          <w:tblCellMar>
            <w:top w:w="0" w:type="dxa"/>
            <w:left w:w="0" w:type="dxa"/>
            <w:bottom w:w="0" w:type="dxa"/>
            <w:right w:w="0" w:type="dxa"/>
          </w:tblCellMar>
        </w:tblPrEx>
        <w:trPr>
          <w:trHeight w:val="64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 铜心双色线Bv16平方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sz w:val="24"/>
                <w:szCs w:val="24"/>
                <w:u w:val="none"/>
                <w:lang w:eastAsia="zh-CN"/>
              </w:rPr>
              <w:t>含主材、辅材、人工、二次搬运等所有费用</w:t>
            </w:r>
          </w:p>
        </w:tc>
      </w:tr>
      <w:tr>
        <w:tblPrEx>
          <w:tblCellMar>
            <w:top w:w="0" w:type="dxa"/>
            <w:left w:w="0" w:type="dxa"/>
            <w:bottom w:w="0" w:type="dxa"/>
            <w:right w:w="0" w:type="dxa"/>
          </w:tblCellMar>
        </w:tblPrEx>
        <w:trPr>
          <w:trHeight w:val="64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 xml:space="preserve"> 铜心双色线</w:t>
            </w:r>
          </w:p>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Bv6平方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sz w:val="24"/>
                <w:szCs w:val="24"/>
                <w:u w:val="none"/>
                <w:lang w:eastAsia="zh-CN"/>
              </w:rPr>
              <w:t>含主材、辅材、人工、二次搬运等所有费用</w:t>
            </w:r>
          </w:p>
        </w:tc>
      </w:tr>
    </w:tbl>
    <w:p>
      <w:pPr>
        <w:keepNext w:val="0"/>
        <w:keepLines w:val="0"/>
        <w:pageBreakBefore w:val="0"/>
        <w:widowControl/>
        <w:kinsoku/>
        <w:wordWrap/>
        <w:overflowPunct/>
        <w:topLinePunct w:val="0"/>
        <w:autoSpaceDE w:val="0"/>
        <w:autoSpaceDN/>
        <w:bidi w:val="0"/>
        <w:adjustRightInd/>
        <w:snapToGrid/>
        <w:spacing w:line="360" w:lineRule="auto"/>
        <w:ind w:firstLine="482" w:firstLineChars="200"/>
        <w:jc w:val="left"/>
        <w:textAlignment w:val="auto"/>
        <w:rPr>
          <w:rFonts w:hint="eastAsia" w:ascii="宋体" w:hAnsi="宋体" w:eastAsiaTheme="minorEastAsia"/>
          <w:b/>
          <w:bCs/>
          <w:sz w:val="24"/>
          <w:lang w:eastAsia="zh-CN"/>
        </w:rPr>
      </w:pPr>
    </w:p>
    <w:p>
      <w:pPr>
        <w:keepNext w:val="0"/>
        <w:keepLines w:val="0"/>
        <w:pageBreakBefore w:val="0"/>
        <w:widowControl/>
        <w:kinsoku/>
        <w:wordWrap/>
        <w:overflowPunct/>
        <w:topLinePunct w:val="0"/>
        <w:autoSpaceDE w:val="0"/>
        <w:autoSpaceDN/>
        <w:bidi w:val="0"/>
        <w:adjustRightInd/>
        <w:snapToGrid/>
        <w:spacing w:line="360" w:lineRule="auto"/>
        <w:ind w:firstLine="482" w:firstLineChars="200"/>
        <w:jc w:val="left"/>
        <w:textAlignment w:val="auto"/>
        <w:rPr>
          <w:rFonts w:ascii="宋体" w:hAnsi="宋体"/>
          <w:b/>
          <w:bCs/>
          <w:sz w:val="24"/>
        </w:rPr>
      </w:pPr>
      <w:r>
        <w:rPr>
          <w:rFonts w:hint="eastAsia" w:ascii="宋体" w:hAnsi="宋体"/>
          <w:b/>
          <w:bCs/>
          <w:sz w:val="24"/>
          <w:lang w:eastAsia="zh-CN"/>
        </w:rPr>
        <w:t>二</w:t>
      </w:r>
      <w:r>
        <w:rPr>
          <w:rFonts w:hint="eastAsia" w:ascii="宋体" w:hAnsi="宋体"/>
          <w:b/>
          <w:bCs/>
          <w:sz w:val="24"/>
        </w:rPr>
        <w:t>、商务要求</w:t>
      </w:r>
    </w:p>
    <w:p>
      <w:pPr>
        <w:spacing w:line="360" w:lineRule="auto"/>
        <w:ind w:firstLine="480" w:firstLineChars="200"/>
        <w:rPr>
          <w:color w:val="000000"/>
          <w:sz w:val="24"/>
        </w:rPr>
      </w:pPr>
      <w:r>
        <w:rPr>
          <w:rFonts w:hint="eastAsia"/>
          <w:color w:val="000000"/>
          <w:sz w:val="24"/>
        </w:rPr>
        <w:t>1、项目工期：工程工期1</w:t>
      </w:r>
      <w:r>
        <w:rPr>
          <w:rFonts w:hint="eastAsia"/>
          <w:color w:val="000000"/>
          <w:sz w:val="24"/>
          <w:lang w:val="en-US" w:eastAsia="zh-CN"/>
        </w:rPr>
        <w:t>0</w:t>
      </w:r>
      <w:r>
        <w:rPr>
          <w:rFonts w:hint="eastAsia"/>
          <w:color w:val="000000"/>
          <w:sz w:val="24"/>
        </w:rPr>
        <w:t>日历天（具体</w:t>
      </w:r>
      <w:r>
        <w:rPr>
          <w:rFonts w:hint="eastAsia"/>
          <w:color w:val="000000"/>
          <w:sz w:val="24"/>
          <w:lang w:eastAsia="zh-CN"/>
        </w:rPr>
        <w:t>施工</w:t>
      </w:r>
      <w:r>
        <w:rPr>
          <w:rFonts w:hint="eastAsia"/>
          <w:color w:val="000000"/>
          <w:sz w:val="24"/>
        </w:rPr>
        <w:t>时间由甲方另行通知，请投标人自行考虑此因素）。若中标单位未按工期要求完成，采购人有权要求中标单位退出场地，给采购人造成的一切损失由中标单位承担。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rPr>
          <w:color w:val="000000"/>
          <w:sz w:val="24"/>
        </w:rPr>
      </w:pPr>
      <w:r>
        <w:rPr>
          <w:rFonts w:hint="eastAsia"/>
          <w:color w:val="000000"/>
          <w:sz w:val="24"/>
        </w:rPr>
        <w:t>2、质量要求：按照国家相关标准执行</w:t>
      </w:r>
      <w:r>
        <w:rPr>
          <w:rFonts w:hint="eastAsia"/>
          <w:color w:val="000000"/>
          <w:sz w:val="24"/>
          <w:lang w:eastAsia="zh-CN"/>
        </w:rPr>
        <w:t>，</w:t>
      </w:r>
      <w:r>
        <w:rPr>
          <w:rFonts w:hint="eastAsia" w:asciiTheme="minorEastAsia" w:hAnsiTheme="minorEastAsia" w:eastAsiaTheme="minorEastAsia" w:cstheme="minorEastAsia"/>
          <w:color w:val="auto"/>
          <w:sz w:val="24"/>
          <w:szCs w:val="24"/>
          <w:lang w:val="en-US" w:eastAsia="zh-CN"/>
        </w:rPr>
        <w:t>质保期：1年</w:t>
      </w:r>
      <w:r>
        <w:rPr>
          <w:rFonts w:hint="eastAsia" w:asciiTheme="minorEastAsia" w:hAnsiTheme="minorEastAsia" w:cstheme="minorEastAsia"/>
          <w:color w:val="auto"/>
          <w:sz w:val="24"/>
          <w:szCs w:val="24"/>
          <w:lang w:val="en-US" w:eastAsia="zh-CN"/>
        </w:rPr>
        <w:t>，质保期间如出现质量问题，中标单位应及时处理，未进行处理或处理不当的不予支付尾款</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color w:val="000000"/>
          <w:sz w:val="24"/>
        </w:rPr>
      </w:pPr>
      <w:r>
        <w:rPr>
          <w:rFonts w:hint="eastAsia"/>
          <w:color w:val="000000"/>
          <w:sz w:val="24"/>
        </w:rPr>
        <w:t>3、安全文明施工要求：中标单位应制定可靠的施工方案，采取有效安全防护措施，确保无安全事故发生，在本项目实施期间，</w:t>
      </w:r>
      <w:r>
        <w:rPr>
          <w:rFonts w:hint="eastAsia"/>
          <w:color w:val="000000"/>
          <w:sz w:val="24"/>
          <w:lang w:eastAsia="zh-CN"/>
        </w:rPr>
        <w:t>中标单位应加强施工人员的管理，注意自身及他人的安全，若在项目实施过程中</w:t>
      </w:r>
      <w:r>
        <w:rPr>
          <w:rFonts w:hint="eastAsia"/>
          <w:color w:val="000000"/>
          <w:sz w:val="24"/>
        </w:rPr>
        <w:t>发生的安全事故或给采购人及第三方造成的损害均由中标人承担。</w:t>
      </w:r>
    </w:p>
    <w:p>
      <w:pPr>
        <w:pStyle w:val="2"/>
        <w:ind w:firstLine="480" w:firstLineChars="200"/>
        <w:rPr>
          <w:rFonts w:hint="eastAsia" w:asciiTheme="minorHAnsi" w:hAnsiTheme="minorHAnsi" w:eastAsiaTheme="minorEastAsia" w:cstheme="minorBidi"/>
          <w:b w:val="0"/>
          <w:bCs w:val="0"/>
          <w:color w:val="000000"/>
          <w:sz w:val="24"/>
          <w:szCs w:val="24"/>
        </w:rPr>
      </w:pPr>
      <w:r>
        <w:rPr>
          <w:rFonts w:hint="eastAsia" w:asciiTheme="minorHAnsi" w:hAnsiTheme="minorHAnsi" w:eastAsiaTheme="minorEastAsia" w:cstheme="minorBidi"/>
          <w:b w:val="0"/>
          <w:bCs w:val="0"/>
          <w:color w:val="000000"/>
          <w:sz w:val="24"/>
          <w:szCs w:val="24"/>
        </w:rPr>
        <w:t>4、卫生要求：每日工程量完工后，负责清理打扫现场卫生，保持院内及走廊楼梯干净整洁。</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Theme="minorEastAsia"/>
          <w:lang w:val="en-US" w:eastAsia="zh-CN"/>
        </w:rPr>
      </w:pPr>
      <w:r>
        <w:rPr>
          <w:rFonts w:hint="eastAsia" w:cstheme="minorBidi"/>
          <w:b w:val="0"/>
          <w:bCs w:val="0"/>
          <w:color w:val="000000"/>
          <w:sz w:val="24"/>
          <w:szCs w:val="24"/>
          <w:lang w:val="en-US" w:eastAsia="zh-CN"/>
        </w:rPr>
        <w:t xml:space="preserve"> 5.</w:t>
      </w:r>
      <w:r>
        <w:rPr>
          <w:rFonts w:hint="eastAsia" w:cs="宋体-18030" w:asciiTheme="minorEastAsia" w:hAnsiTheme="minorEastAsia"/>
          <w:kern w:val="0"/>
          <w:sz w:val="24"/>
          <w:lang w:val="en-US" w:eastAsia="zh-CN"/>
        </w:rPr>
        <w:t>工程量清单报价是招标文件确定的采购范围内的全部工程内容的报价体现，报价中包括但不仅限于施工设备、人工、管理、材料、安装、检验、维护、保险、利润、税金、政策性文件规定、风险、责任、安全文明施工费、施工措施等所有费用，如有遗漏中标人自身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color w:val="auto"/>
          <w:sz w:val="24"/>
          <w:lang w:val="en-US" w:eastAsia="zh-CN"/>
        </w:rPr>
        <w:t>6</w:t>
      </w:r>
      <w:r>
        <w:rPr>
          <w:rFonts w:hint="eastAsia"/>
          <w:color w:val="auto"/>
          <w:sz w:val="24"/>
        </w:rPr>
        <w:t>、付款方式：</w:t>
      </w:r>
      <w:r>
        <w:rPr>
          <w:rFonts w:hint="eastAsia"/>
          <w:color w:val="auto"/>
          <w:sz w:val="24"/>
          <w:lang w:eastAsia="zh-CN"/>
        </w:rPr>
        <w:t>据实结算，</w:t>
      </w:r>
      <w:r>
        <w:rPr>
          <w:rFonts w:hint="eastAsia" w:asciiTheme="minorEastAsia" w:hAnsiTheme="minorEastAsia" w:eastAsiaTheme="minorEastAsia" w:cstheme="minorEastAsia"/>
          <w:color w:val="auto"/>
          <w:sz w:val="24"/>
          <w:szCs w:val="24"/>
          <w:lang w:val="en-US" w:eastAsia="zh-CN"/>
        </w:rPr>
        <w:t>验收合格后，在采购人收到供应商完整有效发票且采购人完善财务报销手续后1个月内无息</w:t>
      </w:r>
      <w:r>
        <w:rPr>
          <w:rFonts w:hint="eastAsia" w:asciiTheme="minorEastAsia" w:hAnsiTheme="minorEastAsia" w:cstheme="minorEastAsia"/>
          <w:color w:val="auto"/>
          <w:sz w:val="24"/>
          <w:szCs w:val="24"/>
          <w:lang w:val="en-US" w:eastAsia="zh-CN"/>
        </w:rPr>
        <w:t>转账支付本项目总金额的97%，余3%作尾款，质保期满无质量问题一次性无息转账支付</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color w:val="auto"/>
          <w:sz w:val="24"/>
        </w:rPr>
      </w:pPr>
      <w:r>
        <w:rPr>
          <w:rFonts w:hint="eastAsia"/>
          <w:color w:val="auto"/>
          <w:sz w:val="24"/>
          <w:lang w:val="en-US" w:eastAsia="zh-CN"/>
        </w:rPr>
        <w:t>7</w:t>
      </w:r>
      <w:r>
        <w:rPr>
          <w:rFonts w:hint="eastAsia"/>
          <w:color w:val="auto"/>
          <w:sz w:val="24"/>
        </w:rPr>
        <w:t>、投标人在获得</w:t>
      </w:r>
      <w:r>
        <w:rPr>
          <w:rFonts w:hint="eastAsia"/>
          <w:color w:val="auto"/>
          <w:sz w:val="24"/>
          <w:lang w:eastAsia="zh-CN"/>
        </w:rPr>
        <w:t>询价</w:t>
      </w:r>
      <w:r>
        <w:rPr>
          <w:rFonts w:hint="eastAsia"/>
          <w:color w:val="auto"/>
          <w:sz w:val="24"/>
        </w:rPr>
        <w:t>文件的有关资料后可根据自己的需要自行到现场及周围环境进行勘察（不统一组织），以便获取由投标人自行负责编制的投标文件和签订合同所需的一切资料，现场勘察的费用由投标人自行承担。</w:t>
      </w:r>
    </w:p>
    <w:p>
      <w:pPr>
        <w:pStyle w:val="2"/>
        <w:rPr>
          <w:rFonts w:ascii="Calibri" w:hAnsi="Calibri" w:eastAsia="宋体"/>
          <w:b w:val="0"/>
          <w:bCs w:val="0"/>
          <w:color w:val="auto"/>
          <w:sz w:val="24"/>
          <w:szCs w:val="22"/>
        </w:rPr>
      </w:pP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b w:val="0"/>
          <w:color w:val="auto"/>
          <w:sz w:val="21"/>
          <w:szCs w:val="21"/>
        </w:rPr>
        <w:t xml:space="preserve"> </w:t>
      </w:r>
      <w:r>
        <w:rPr>
          <w:rFonts w:hint="eastAsia" w:ascii="Calibri" w:hAnsi="Calibri" w:eastAsia="宋体"/>
          <w:b w:val="0"/>
          <w:bCs w:val="0"/>
          <w:color w:val="auto"/>
          <w:sz w:val="24"/>
          <w:szCs w:val="22"/>
        </w:rPr>
        <w:t xml:space="preserve"> </w:t>
      </w:r>
      <w:r>
        <w:rPr>
          <w:rFonts w:hint="eastAsia" w:ascii="Calibri" w:hAnsi="Calibri" w:eastAsia="宋体"/>
          <w:b w:val="0"/>
          <w:bCs w:val="0"/>
          <w:color w:val="auto"/>
          <w:sz w:val="24"/>
          <w:szCs w:val="22"/>
          <w:lang w:val="en-US" w:eastAsia="zh-CN"/>
        </w:rPr>
        <w:t>8</w:t>
      </w:r>
      <w:r>
        <w:rPr>
          <w:rFonts w:hint="eastAsia" w:ascii="Calibri" w:hAnsi="Calibri" w:eastAsia="宋体"/>
          <w:b w:val="0"/>
          <w:bCs w:val="0"/>
          <w:color w:val="auto"/>
          <w:sz w:val="24"/>
          <w:szCs w:val="22"/>
        </w:rPr>
        <w:t>. 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2.响应文件签署：应根据</w:t>
      </w:r>
      <w:r>
        <w:rPr>
          <w:rFonts w:hint="eastAsia" w:cs="宋体-18030" w:asciiTheme="minorEastAsia" w:hAnsiTheme="minorEastAsia"/>
          <w:kern w:val="0"/>
          <w:sz w:val="24"/>
          <w:lang w:eastAsia="zh-CN"/>
        </w:rPr>
        <w:t>询价</w:t>
      </w:r>
      <w:r>
        <w:rPr>
          <w:rFonts w:hint="eastAsia" w:cs="宋体-18030" w:asciiTheme="minorEastAsia" w:hAnsiTheme="minorEastAsia"/>
          <w:kern w:val="0"/>
          <w:sz w:val="24"/>
        </w:rPr>
        <w:t>文件的要求制作，签署、盖章和内容应完整。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10</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10</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w:t>
      </w:r>
      <w:r>
        <w:rPr>
          <w:rFonts w:hint="eastAsia" w:cs="宋体-18030" w:asciiTheme="minorEastAsia" w:hAnsiTheme="minorEastAsia"/>
          <w:kern w:val="0"/>
          <w:sz w:val="24"/>
        </w:rPr>
        <w:t>:00（北京时间）。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后勤科</w:t>
      </w:r>
      <w:r>
        <w:rPr>
          <w:rFonts w:hint="eastAsia" w:cs="宋体-18030" w:asciiTheme="minorEastAsia" w:hAnsiTheme="minorEastAsia"/>
          <w:kern w:val="0"/>
          <w:sz w:val="24"/>
        </w:rPr>
        <w:t>（住院部</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楼）。</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七、联系方式</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姚</w:t>
      </w:r>
      <w:r>
        <w:rPr>
          <w:rFonts w:hint="eastAsia" w:cs="宋体-18030" w:asciiTheme="minorEastAsia" w:hAnsiTheme="minorEastAsia"/>
          <w:kern w:val="0"/>
          <w:sz w:val="24"/>
        </w:rPr>
        <w:t xml:space="preserve">老师 </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宋体" w:cs="宋体-18030" w:asciiTheme="minorEastAsia" w:hAnsiTheme="minorEastAsia"/>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13550691698</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867"/>
        <w:gridCol w:w="936"/>
        <w:gridCol w:w="831"/>
        <w:gridCol w:w="1196"/>
        <w:gridCol w:w="1161"/>
        <w:gridCol w:w="179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98" w:type="dxa"/>
            <w:vAlign w:val="center"/>
          </w:tcPr>
          <w:p>
            <w:pPr>
              <w:keepNext w:val="0"/>
              <w:keepLines w:val="0"/>
              <w:widowControl/>
              <w:suppressLineNumbers w:val="0"/>
              <w:jc w:val="center"/>
              <w:textAlignment w:val="center"/>
              <w:rPr>
                <w:rFonts w:cs="宋体-18030" w:asciiTheme="minorEastAsia" w:hAnsiTheme="minorEastAsia"/>
                <w:kern w:val="0"/>
                <w:sz w:val="24"/>
                <w:lang w:val="zh-CN"/>
              </w:rPr>
            </w:pPr>
            <w:r>
              <w:rPr>
                <w:rFonts w:hint="eastAsia" w:ascii="方正仿宋简体" w:hAnsi="方正仿宋简体" w:eastAsia="方正仿宋简体" w:cs="方正仿宋简体"/>
                <w:i w:val="0"/>
                <w:color w:val="000000"/>
                <w:kern w:val="0"/>
                <w:sz w:val="24"/>
                <w:szCs w:val="24"/>
                <w:u w:val="none"/>
                <w:lang w:val="en-US" w:eastAsia="zh-CN" w:bidi="ar"/>
              </w:rPr>
              <w:t>序号</w:t>
            </w:r>
          </w:p>
        </w:tc>
        <w:tc>
          <w:tcPr>
            <w:tcW w:w="867" w:type="dxa"/>
            <w:vAlign w:val="center"/>
          </w:tcPr>
          <w:p>
            <w:pPr>
              <w:keepNext w:val="0"/>
              <w:keepLines w:val="0"/>
              <w:widowControl/>
              <w:suppressLineNumbers w:val="0"/>
              <w:jc w:val="center"/>
              <w:textAlignment w:val="center"/>
              <w:rPr>
                <w:rFonts w:cs="宋体-18030" w:asciiTheme="minorEastAsia" w:hAnsiTheme="minorEastAsia"/>
                <w:kern w:val="0"/>
                <w:sz w:val="24"/>
                <w:lang w:val="zh-CN"/>
              </w:rPr>
            </w:pPr>
            <w:r>
              <w:rPr>
                <w:rFonts w:hint="eastAsia" w:ascii="方正仿宋简体" w:hAnsi="方正仿宋简体" w:eastAsia="方正仿宋简体" w:cs="方正仿宋简体"/>
                <w:i w:val="0"/>
                <w:color w:val="000000"/>
                <w:kern w:val="0"/>
                <w:sz w:val="24"/>
                <w:szCs w:val="24"/>
                <w:u w:val="none"/>
                <w:lang w:val="en-US" w:eastAsia="zh-CN" w:bidi="ar"/>
              </w:rPr>
              <w:t>防雷接地点</w:t>
            </w:r>
          </w:p>
        </w:tc>
        <w:tc>
          <w:tcPr>
            <w:tcW w:w="936" w:type="dxa"/>
            <w:vAlign w:val="center"/>
          </w:tcPr>
          <w:p>
            <w:pPr>
              <w:keepNext w:val="0"/>
              <w:keepLines w:val="0"/>
              <w:widowControl/>
              <w:suppressLineNumbers w:val="0"/>
              <w:jc w:val="center"/>
              <w:textAlignment w:val="center"/>
              <w:rPr>
                <w:rFonts w:cs="宋体-18030" w:asciiTheme="minorEastAsia" w:hAnsiTheme="minorEastAsia"/>
                <w:kern w:val="0"/>
                <w:sz w:val="24"/>
                <w:lang w:val="zh-CN"/>
              </w:rPr>
            </w:pPr>
            <w:r>
              <w:rPr>
                <w:rFonts w:hint="eastAsia" w:ascii="方正仿宋简体" w:hAnsi="方正仿宋简体" w:eastAsia="方正仿宋简体" w:cs="方正仿宋简体"/>
                <w:i w:val="0"/>
                <w:color w:val="000000"/>
                <w:kern w:val="0"/>
                <w:sz w:val="24"/>
                <w:szCs w:val="24"/>
                <w:u w:val="none"/>
                <w:lang w:val="en-US" w:eastAsia="zh-CN" w:bidi="ar"/>
              </w:rPr>
              <w:t>设备数量（个）</w:t>
            </w:r>
          </w:p>
        </w:tc>
        <w:tc>
          <w:tcPr>
            <w:tcW w:w="831" w:type="dxa"/>
            <w:vAlign w:val="center"/>
          </w:tcPr>
          <w:p>
            <w:pPr>
              <w:keepNext w:val="0"/>
              <w:keepLines w:val="0"/>
              <w:widowControl/>
              <w:suppressLineNumbers w:val="0"/>
              <w:jc w:val="center"/>
              <w:textAlignment w:val="center"/>
              <w:rPr>
                <w:rFonts w:cs="宋体-18030" w:asciiTheme="minorEastAsia" w:hAnsiTheme="minorEastAsia"/>
                <w:kern w:val="0"/>
                <w:sz w:val="24"/>
                <w:lang w:val="zh-CN"/>
              </w:rPr>
            </w:pPr>
            <w:r>
              <w:rPr>
                <w:rFonts w:hint="eastAsia" w:ascii="方正仿宋简体" w:hAnsi="方正仿宋简体" w:eastAsia="方正仿宋简体" w:cs="方正仿宋简体"/>
                <w:i w:val="0"/>
                <w:color w:val="000000"/>
                <w:kern w:val="0"/>
                <w:sz w:val="24"/>
                <w:szCs w:val="24"/>
                <w:u w:val="none"/>
                <w:lang w:val="en-US" w:eastAsia="zh-CN" w:bidi="ar"/>
              </w:rPr>
              <w:t>材料名称型号</w:t>
            </w:r>
          </w:p>
        </w:tc>
        <w:tc>
          <w:tcPr>
            <w:tcW w:w="1196" w:type="dxa"/>
            <w:vAlign w:val="center"/>
          </w:tcPr>
          <w:p>
            <w:pPr>
              <w:keepNext w:val="0"/>
              <w:keepLines w:val="0"/>
              <w:widowControl/>
              <w:suppressLineNumbers w:val="0"/>
              <w:jc w:val="center"/>
              <w:textAlignment w:val="center"/>
              <w:rPr>
                <w:rFonts w:hint="eastAsia" w:eastAsia="宋体" w:cs="宋体-18030" w:asciiTheme="minorEastAsia" w:hAnsiTheme="minorEastAsia"/>
                <w:kern w:val="0"/>
                <w:sz w:val="24"/>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预计材料数量（米）</w:t>
            </w:r>
          </w:p>
        </w:tc>
        <w:tc>
          <w:tcPr>
            <w:tcW w:w="1161" w:type="dxa"/>
            <w:vAlign w:val="center"/>
          </w:tcPr>
          <w:p>
            <w:pPr>
              <w:keepNext w:val="0"/>
              <w:keepLines w:val="0"/>
              <w:widowControl/>
              <w:suppressLineNumbers w:val="0"/>
              <w:jc w:val="center"/>
              <w:textAlignment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793" w:type="dxa"/>
            <w:vAlign w:val="center"/>
          </w:tcPr>
          <w:p>
            <w:pPr>
              <w:keepNext w:val="0"/>
              <w:keepLines w:val="0"/>
              <w:widowControl/>
              <w:suppressLineNumbers w:val="0"/>
              <w:jc w:val="center"/>
              <w:textAlignment w:val="center"/>
              <w:rPr>
                <w:rFonts w:hint="eastAsia" w:cs="宋体-18030" w:asciiTheme="minorEastAsia" w:hAnsiTheme="minorEastAsia"/>
                <w:kern w:val="0"/>
                <w:sz w:val="24"/>
                <w:lang w:val="zh-CN"/>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c>
          <w:tcPr>
            <w:tcW w:w="1135"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867" w:type="dxa"/>
            <w:vAlign w:val="center"/>
          </w:tcPr>
          <w:p>
            <w:pPr>
              <w:spacing w:line="360" w:lineRule="auto"/>
              <w:jc w:val="center"/>
              <w:rPr>
                <w:rFonts w:cs="宋体-18030" w:asciiTheme="minorEastAsia" w:hAnsiTheme="minorEastAsia"/>
                <w:kern w:val="0"/>
                <w:sz w:val="24"/>
                <w:lang w:val="zh-CN"/>
              </w:rPr>
            </w:pPr>
          </w:p>
        </w:tc>
        <w:tc>
          <w:tcPr>
            <w:tcW w:w="936" w:type="dxa"/>
            <w:vAlign w:val="center"/>
          </w:tcPr>
          <w:p>
            <w:pPr>
              <w:spacing w:line="360" w:lineRule="auto"/>
              <w:jc w:val="center"/>
              <w:rPr>
                <w:rFonts w:cs="宋体-18030" w:asciiTheme="minorEastAsia" w:hAnsiTheme="minorEastAsia"/>
                <w:kern w:val="0"/>
                <w:sz w:val="24"/>
                <w:lang w:val="zh-CN"/>
              </w:rPr>
            </w:pPr>
          </w:p>
        </w:tc>
        <w:tc>
          <w:tcPr>
            <w:tcW w:w="831" w:type="dxa"/>
            <w:vAlign w:val="center"/>
          </w:tcPr>
          <w:p>
            <w:pPr>
              <w:spacing w:line="360" w:lineRule="auto"/>
              <w:jc w:val="center"/>
              <w:rPr>
                <w:rFonts w:cs="宋体-18030" w:asciiTheme="minorEastAsia" w:hAnsiTheme="minorEastAsia"/>
                <w:kern w:val="0"/>
                <w:sz w:val="24"/>
                <w:lang w:val="zh-CN"/>
              </w:rPr>
            </w:pPr>
          </w:p>
        </w:tc>
        <w:tc>
          <w:tcPr>
            <w:tcW w:w="1196" w:type="dxa"/>
            <w:vAlign w:val="center"/>
          </w:tcPr>
          <w:p>
            <w:pPr>
              <w:spacing w:line="360" w:lineRule="auto"/>
              <w:jc w:val="center"/>
              <w:rPr>
                <w:rFonts w:cs="宋体-18030" w:asciiTheme="minorEastAsia" w:hAnsiTheme="minorEastAsia"/>
                <w:kern w:val="0"/>
                <w:sz w:val="24"/>
                <w:lang w:val="zh-CN"/>
              </w:rPr>
            </w:pPr>
          </w:p>
        </w:tc>
        <w:tc>
          <w:tcPr>
            <w:tcW w:w="1161" w:type="dxa"/>
            <w:vAlign w:val="center"/>
          </w:tcPr>
          <w:p>
            <w:pPr>
              <w:spacing w:line="360" w:lineRule="auto"/>
              <w:jc w:val="center"/>
              <w:rPr>
                <w:rFonts w:cs="宋体-18030" w:asciiTheme="minorEastAsia" w:hAnsiTheme="minorEastAsia"/>
                <w:kern w:val="0"/>
                <w:sz w:val="24"/>
                <w:lang w:val="zh-CN"/>
              </w:rPr>
            </w:pPr>
          </w:p>
        </w:tc>
        <w:tc>
          <w:tcPr>
            <w:tcW w:w="1793" w:type="dxa"/>
            <w:vAlign w:val="center"/>
          </w:tcPr>
          <w:p>
            <w:pPr>
              <w:spacing w:line="360" w:lineRule="auto"/>
              <w:jc w:val="center"/>
              <w:rPr>
                <w:rFonts w:cs="宋体-18030" w:asciiTheme="minorEastAsia" w:hAnsiTheme="minorEastAsia"/>
                <w:kern w:val="0"/>
                <w:sz w:val="24"/>
                <w:lang w:val="zh-CN"/>
              </w:rPr>
            </w:pPr>
          </w:p>
        </w:tc>
        <w:tc>
          <w:tcPr>
            <w:tcW w:w="113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867" w:type="dxa"/>
            <w:vAlign w:val="center"/>
          </w:tcPr>
          <w:p>
            <w:pPr>
              <w:spacing w:line="360" w:lineRule="auto"/>
              <w:jc w:val="center"/>
              <w:rPr>
                <w:rFonts w:cs="宋体-18030" w:asciiTheme="minorEastAsia" w:hAnsiTheme="minorEastAsia"/>
                <w:kern w:val="0"/>
                <w:sz w:val="24"/>
                <w:lang w:val="zh-CN"/>
              </w:rPr>
            </w:pPr>
          </w:p>
        </w:tc>
        <w:tc>
          <w:tcPr>
            <w:tcW w:w="936" w:type="dxa"/>
            <w:vAlign w:val="center"/>
          </w:tcPr>
          <w:p>
            <w:pPr>
              <w:spacing w:line="360" w:lineRule="auto"/>
              <w:jc w:val="center"/>
              <w:rPr>
                <w:rFonts w:cs="宋体-18030" w:asciiTheme="minorEastAsia" w:hAnsiTheme="minorEastAsia"/>
                <w:kern w:val="0"/>
                <w:sz w:val="24"/>
                <w:lang w:val="zh-CN"/>
              </w:rPr>
            </w:pPr>
          </w:p>
        </w:tc>
        <w:tc>
          <w:tcPr>
            <w:tcW w:w="831" w:type="dxa"/>
            <w:vAlign w:val="center"/>
          </w:tcPr>
          <w:p>
            <w:pPr>
              <w:spacing w:line="360" w:lineRule="auto"/>
              <w:jc w:val="center"/>
              <w:rPr>
                <w:rFonts w:cs="宋体-18030" w:asciiTheme="minorEastAsia" w:hAnsiTheme="minorEastAsia"/>
                <w:kern w:val="0"/>
                <w:sz w:val="24"/>
                <w:lang w:val="zh-CN"/>
              </w:rPr>
            </w:pPr>
          </w:p>
        </w:tc>
        <w:tc>
          <w:tcPr>
            <w:tcW w:w="1196" w:type="dxa"/>
            <w:vAlign w:val="center"/>
          </w:tcPr>
          <w:p>
            <w:pPr>
              <w:spacing w:line="360" w:lineRule="auto"/>
              <w:jc w:val="center"/>
              <w:rPr>
                <w:rFonts w:cs="宋体-18030" w:asciiTheme="minorEastAsia" w:hAnsiTheme="minorEastAsia"/>
                <w:kern w:val="0"/>
                <w:sz w:val="24"/>
                <w:lang w:val="zh-CN"/>
              </w:rPr>
            </w:pPr>
          </w:p>
        </w:tc>
        <w:tc>
          <w:tcPr>
            <w:tcW w:w="1161" w:type="dxa"/>
            <w:vAlign w:val="center"/>
          </w:tcPr>
          <w:p>
            <w:pPr>
              <w:spacing w:line="360" w:lineRule="auto"/>
              <w:jc w:val="center"/>
              <w:rPr>
                <w:rFonts w:cs="宋体-18030" w:asciiTheme="minorEastAsia" w:hAnsiTheme="minorEastAsia"/>
                <w:kern w:val="0"/>
                <w:sz w:val="24"/>
                <w:lang w:val="zh-CN"/>
              </w:rPr>
            </w:pPr>
          </w:p>
        </w:tc>
        <w:tc>
          <w:tcPr>
            <w:tcW w:w="1793" w:type="dxa"/>
            <w:vAlign w:val="center"/>
          </w:tcPr>
          <w:p>
            <w:pPr>
              <w:spacing w:line="360" w:lineRule="auto"/>
              <w:jc w:val="center"/>
              <w:rPr>
                <w:rFonts w:cs="宋体-18030" w:asciiTheme="minorEastAsia" w:hAnsiTheme="minorEastAsia"/>
                <w:kern w:val="0"/>
                <w:sz w:val="24"/>
                <w:lang w:val="zh-CN"/>
              </w:rPr>
            </w:pPr>
          </w:p>
        </w:tc>
        <w:tc>
          <w:tcPr>
            <w:tcW w:w="113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8" w:type="dxa"/>
            <w:vAlign w:val="center"/>
          </w:tcPr>
          <w:p>
            <w:pPr>
              <w:spacing w:line="360" w:lineRule="auto"/>
              <w:jc w:val="center"/>
              <w:rPr>
                <w:rFonts w:cs="宋体-18030" w:asciiTheme="minorEastAsia" w:hAnsiTheme="minorEastAsia"/>
                <w:kern w:val="0"/>
                <w:sz w:val="24"/>
                <w:lang w:val="zh-CN"/>
              </w:rPr>
            </w:pPr>
          </w:p>
        </w:tc>
        <w:tc>
          <w:tcPr>
            <w:tcW w:w="867" w:type="dxa"/>
            <w:vAlign w:val="center"/>
          </w:tcPr>
          <w:p>
            <w:pPr>
              <w:spacing w:line="360" w:lineRule="auto"/>
              <w:jc w:val="center"/>
              <w:rPr>
                <w:rFonts w:cs="宋体-18030" w:asciiTheme="minorEastAsia" w:hAnsiTheme="minorEastAsia"/>
                <w:kern w:val="0"/>
                <w:sz w:val="24"/>
                <w:lang w:val="zh-CN"/>
              </w:rPr>
            </w:pPr>
          </w:p>
        </w:tc>
        <w:tc>
          <w:tcPr>
            <w:tcW w:w="936" w:type="dxa"/>
            <w:vAlign w:val="center"/>
          </w:tcPr>
          <w:p>
            <w:pPr>
              <w:spacing w:line="360" w:lineRule="auto"/>
              <w:jc w:val="center"/>
              <w:rPr>
                <w:rFonts w:cs="宋体-18030" w:asciiTheme="minorEastAsia" w:hAnsiTheme="minorEastAsia"/>
                <w:kern w:val="0"/>
                <w:sz w:val="24"/>
                <w:lang w:val="zh-CN"/>
              </w:rPr>
            </w:pPr>
          </w:p>
        </w:tc>
        <w:tc>
          <w:tcPr>
            <w:tcW w:w="831" w:type="dxa"/>
            <w:vAlign w:val="center"/>
          </w:tcPr>
          <w:p>
            <w:pPr>
              <w:spacing w:line="360" w:lineRule="auto"/>
              <w:jc w:val="center"/>
              <w:rPr>
                <w:rFonts w:cs="宋体-18030" w:asciiTheme="minorEastAsia" w:hAnsiTheme="minorEastAsia"/>
                <w:kern w:val="0"/>
                <w:sz w:val="24"/>
                <w:lang w:val="zh-CN"/>
              </w:rPr>
            </w:pPr>
          </w:p>
        </w:tc>
        <w:tc>
          <w:tcPr>
            <w:tcW w:w="1196" w:type="dxa"/>
            <w:vAlign w:val="center"/>
          </w:tcPr>
          <w:p>
            <w:pPr>
              <w:spacing w:line="360" w:lineRule="auto"/>
              <w:jc w:val="center"/>
              <w:rPr>
                <w:rFonts w:cs="宋体-18030" w:asciiTheme="minorEastAsia" w:hAnsiTheme="minorEastAsia"/>
                <w:kern w:val="0"/>
                <w:sz w:val="24"/>
                <w:lang w:val="zh-CN"/>
              </w:rPr>
            </w:pPr>
          </w:p>
        </w:tc>
        <w:tc>
          <w:tcPr>
            <w:tcW w:w="1161" w:type="dxa"/>
            <w:vAlign w:val="center"/>
          </w:tcPr>
          <w:p>
            <w:pPr>
              <w:spacing w:line="360" w:lineRule="auto"/>
              <w:jc w:val="center"/>
              <w:rPr>
                <w:rFonts w:cs="宋体-18030" w:asciiTheme="minorEastAsia" w:hAnsiTheme="minorEastAsia"/>
                <w:kern w:val="0"/>
                <w:sz w:val="24"/>
                <w:lang w:val="zh-CN"/>
              </w:rPr>
            </w:pPr>
          </w:p>
        </w:tc>
        <w:tc>
          <w:tcPr>
            <w:tcW w:w="1793" w:type="dxa"/>
            <w:vAlign w:val="center"/>
          </w:tcPr>
          <w:p>
            <w:pPr>
              <w:spacing w:line="360" w:lineRule="auto"/>
              <w:jc w:val="center"/>
              <w:rPr>
                <w:rFonts w:cs="宋体-18030" w:asciiTheme="minorEastAsia" w:hAnsiTheme="minorEastAsia"/>
                <w:kern w:val="0"/>
                <w:sz w:val="24"/>
                <w:lang w:val="zh-CN"/>
              </w:rPr>
            </w:pPr>
          </w:p>
        </w:tc>
        <w:tc>
          <w:tcPr>
            <w:tcW w:w="113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8" w:type="dxa"/>
            <w:vAlign w:val="center"/>
          </w:tcPr>
          <w:p>
            <w:pPr>
              <w:spacing w:line="360" w:lineRule="auto"/>
              <w:jc w:val="center"/>
              <w:rPr>
                <w:rFonts w:cs="宋体-18030" w:asciiTheme="minorEastAsia" w:hAnsiTheme="minorEastAsia"/>
                <w:kern w:val="0"/>
                <w:sz w:val="24"/>
                <w:lang w:val="zh-CN"/>
              </w:rPr>
            </w:pPr>
          </w:p>
        </w:tc>
        <w:tc>
          <w:tcPr>
            <w:tcW w:w="867" w:type="dxa"/>
            <w:vAlign w:val="center"/>
          </w:tcPr>
          <w:p>
            <w:pPr>
              <w:spacing w:line="360" w:lineRule="auto"/>
              <w:jc w:val="center"/>
              <w:rPr>
                <w:rFonts w:cs="宋体-18030" w:asciiTheme="minorEastAsia" w:hAnsiTheme="minorEastAsia"/>
                <w:kern w:val="0"/>
                <w:sz w:val="24"/>
                <w:lang w:val="zh-CN"/>
              </w:rPr>
            </w:pPr>
          </w:p>
        </w:tc>
        <w:tc>
          <w:tcPr>
            <w:tcW w:w="936" w:type="dxa"/>
            <w:vAlign w:val="center"/>
          </w:tcPr>
          <w:p>
            <w:pPr>
              <w:spacing w:line="360" w:lineRule="auto"/>
              <w:jc w:val="center"/>
              <w:rPr>
                <w:rFonts w:cs="宋体-18030" w:asciiTheme="minorEastAsia" w:hAnsiTheme="minorEastAsia"/>
                <w:kern w:val="0"/>
                <w:sz w:val="24"/>
                <w:lang w:val="zh-CN"/>
              </w:rPr>
            </w:pPr>
          </w:p>
        </w:tc>
        <w:tc>
          <w:tcPr>
            <w:tcW w:w="831" w:type="dxa"/>
            <w:vAlign w:val="center"/>
          </w:tcPr>
          <w:p>
            <w:pPr>
              <w:spacing w:line="360" w:lineRule="auto"/>
              <w:jc w:val="center"/>
              <w:rPr>
                <w:rFonts w:cs="宋体-18030" w:asciiTheme="minorEastAsia" w:hAnsiTheme="minorEastAsia"/>
                <w:kern w:val="0"/>
                <w:sz w:val="24"/>
                <w:lang w:val="zh-CN"/>
              </w:rPr>
            </w:pPr>
          </w:p>
        </w:tc>
        <w:tc>
          <w:tcPr>
            <w:tcW w:w="1196" w:type="dxa"/>
            <w:vAlign w:val="center"/>
          </w:tcPr>
          <w:p>
            <w:pPr>
              <w:spacing w:line="360" w:lineRule="auto"/>
              <w:jc w:val="center"/>
              <w:rPr>
                <w:rFonts w:cs="宋体-18030" w:asciiTheme="minorEastAsia" w:hAnsiTheme="minorEastAsia"/>
                <w:kern w:val="0"/>
                <w:sz w:val="24"/>
                <w:lang w:val="zh-CN"/>
              </w:rPr>
            </w:pPr>
          </w:p>
        </w:tc>
        <w:tc>
          <w:tcPr>
            <w:tcW w:w="1161" w:type="dxa"/>
            <w:vAlign w:val="center"/>
          </w:tcPr>
          <w:p>
            <w:pPr>
              <w:spacing w:line="360" w:lineRule="auto"/>
              <w:jc w:val="center"/>
              <w:rPr>
                <w:rFonts w:cs="宋体-18030" w:asciiTheme="minorEastAsia" w:hAnsiTheme="minorEastAsia"/>
                <w:kern w:val="0"/>
                <w:sz w:val="24"/>
                <w:lang w:val="zh-CN"/>
              </w:rPr>
            </w:pPr>
          </w:p>
        </w:tc>
        <w:tc>
          <w:tcPr>
            <w:tcW w:w="1793" w:type="dxa"/>
            <w:vAlign w:val="center"/>
          </w:tcPr>
          <w:p>
            <w:pPr>
              <w:spacing w:line="360" w:lineRule="auto"/>
              <w:jc w:val="center"/>
              <w:rPr>
                <w:rFonts w:cs="宋体-18030" w:asciiTheme="minorEastAsia" w:hAnsiTheme="minorEastAsia"/>
                <w:kern w:val="0"/>
                <w:sz w:val="24"/>
                <w:lang w:val="zh-CN"/>
              </w:rPr>
            </w:pPr>
          </w:p>
        </w:tc>
        <w:tc>
          <w:tcPr>
            <w:tcW w:w="113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8" w:type="dxa"/>
            <w:vAlign w:val="center"/>
          </w:tcPr>
          <w:p>
            <w:pPr>
              <w:spacing w:line="360" w:lineRule="auto"/>
              <w:jc w:val="center"/>
              <w:rPr>
                <w:rFonts w:cs="宋体-18030" w:asciiTheme="minorEastAsia" w:hAnsiTheme="minorEastAsia"/>
                <w:kern w:val="0"/>
                <w:sz w:val="24"/>
                <w:lang w:val="zh-CN"/>
              </w:rPr>
            </w:pPr>
          </w:p>
        </w:tc>
        <w:tc>
          <w:tcPr>
            <w:tcW w:w="867" w:type="dxa"/>
            <w:vAlign w:val="center"/>
          </w:tcPr>
          <w:p>
            <w:pPr>
              <w:spacing w:line="360" w:lineRule="auto"/>
              <w:jc w:val="center"/>
              <w:rPr>
                <w:rFonts w:cs="宋体-18030" w:asciiTheme="minorEastAsia" w:hAnsiTheme="minorEastAsia"/>
                <w:kern w:val="0"/>
                <w:sz w:val="24"/>
                <w:lang w:val="zh-CN"/>
              </w:rPr>
            </w:pPr>
          </w:p>
        </w:tc>
        <w:tc>
          <w:tcPr>
            <w:tcW w:w="936" w:type="dxa"/>
            <w:vAlign w:val="center"/>
          </w:tcPr>
          <w:p>
            <w:pPr>
              <w:spacing w:line="360" w:lineRule="auto"/>
              <w:jc w:val="center"/>
              <w:rPr>
                <w:rFonts w:cs="宋体-18030" w:asciiTheme="minorEastAsia" w:hAnsiTheme="minorEastAsia"/>
                <w:kern w:val="0"/>
                <w:sz w:val="24"/>
                <w:lang w:val="zh-CN"/>
              </w:rPr>
            </w:pPr>
          </w:p>
        </w:tc>
        <w:tc>
          <w:tcPr>
            <w:tcW w:w="831" w:type="dxa"/>
            <w:vAlign w:val="center"/>
          </w:tcPr>
          <w:p>
            <w:pPr>
              <w:spacing w:line="360" w:lineRule="auto"/>
              <w:jc w:val="center"/>
              <w:rPr>
                <w:rFonts w:cs="宋体-18030" w:asciiTheme="minorEastAsia" w:hAnsiTheme="minorEastAsia"/>
                <w:kern w:val="0"/>
                <w:sz w:val="24"/>
                <w:lang w:val="zh-CN"/>
              </w:rPr>
            </w:pPr>
          </w:p>
        </w:tc>
        <w:tc>
          <w:tcPr>
            <w:tcW w:w="1196" w:type="dxa"/>
            <w:vAlign w:val="center"/>
          </w:tcPr>
          <w:p>
            <w:pPr>
              <w:spacing w:line="360" w:lineRule="auto"/>
              <w:jc w:val="center"/>
              <w:rPr>
                <w:rFonts w:cs="宋体-18030" w:asciiTheme="minorEastAsia" w:hAnsiTheme="minorEastAsia"/>
                <w:kern w:val="0"/>
                <w:sz w:val="24"/>
                <w:lang w:val="zh-CN"/>
              </w:rPr>
            </w:pPr>
          </w:p>
        </w:tc>
        <w:tc>
          <w:tcPr>
            <w:tcW w:w="1161" w:type="dxa"/>
            <w:vAlign w:val="center"/>
          </w:tcPr>
          <w:p>
            <w:pPr>
              <w:spacing w:line="360" w:lineRule="auto"/>
              <w:jc w:val="center"/>
              <w:rPr>
                <w:rFonts w:cs="宋体-18030" w:asciiTheme="minorEastAsia" w:hAnsiTheme="minorEastAsia"/>
                <w:kern w:val="0"/>
                <w:sz w:val="24"/>
                <w:lang w:val="zh-CN"/>
              </w:rPr>
            </w:pPr>
          </w:p>
        </w:tc>
        <w:tc>
          <w:tcPr>
            <w:tcW w:w="1793" w:type="dxa"/>
            <w:vAlign w:val="center"/>
          </w:tcPr>
          <w:p>
            <w:pPr>
              <w:spacing w:line="360" w:lineRule="auto"/>
              <w:jc w:val="center"/>
              <w:rPr>
                <w:rFonts w:cs="宋体-18030" w:asciiTheme="minorEastAsia" w:hAnsiTheme="minorEastAsia"/>
                <w:kern w:val="0"/>
                <w:sz w:val="24"/>
                <w:lang w:val="zh-CN"/>
              </w:rPr>
            </w:pPr>
          </w:p>
        </w:tc>
        <w:tc>
          <w:tcPr>
            <w:tcW w:w="113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8" w:type="dxa"/>
            <w:vAlign w:val="center"/>
          </w:tcPr>
          <w:p>
            <w:pPr>
              <w:spacing w:line="360" w:lineRule="auto"/>
              <w:jc w:val="center"/>
              <w:rPr>
                <w:rFonts w:cs="宋体-18030" w:asciiTheme="minorEastAsia" w:hAnsiTheme="minorEastAsia"/>
                <w:kern w:val="0"/>
                <w:sz w:val="24"/>
                <w:lang w:val="zh-CN"/>
              </w:rPr>
            </w:pPr>
          </w:p>
        </w:tc>
        <w:tc>
          <w:tcPr>
            <w:tcW w:w="867" w:type="dxa"/>
            <w:vAlign w:val="center"/>
          </w:tcPr>
          <w:p>
            <w:pPr>
              <w:spacing w:line="360" w:lineRule="auto"/>
              <w:jc w:val="center"/>
              <w:rPr>
                <w:rFonts w:cs="宋体-18030" w:asciiTheme="minorEastAsia" w:hAnsiTheme="minorEastAsia"/>
                <w:kern w:val="0"/>
                <w:sz w:val="24"/>
                <w:lang w:val="zh-CN"/>
              </w:rPr>
            </w:pPr>
          </w:p>
        </w:tc>
        <w:tc>
          <w:tcPr>
            <w:tcW w:w="936" w:type="dxa"/>
            <w:vAlign w:val="center"/>
          </w:tcPr>
          <w:p>
            <w:pPr>
              <w:spacing w:line="360" w:lineRule="auto"/>
              <w:jc w:val="center"/>
              <w:rPr>
                <w:rFonts w:cs="宋体-18030" w:asciiTheme="minorEastAsia" w:hAnsiTheme="minorEastAsia"/>
                <w:kern w:val="0"/>
                <w:sz w:val="24"/>
                <w:lang w:val="zh-CN"/>
              </w:rPr>
            </w:pPr>
          </w:p>
        </w:tc>
        <w:tc>
          <w:tcPr>
            <w:tcW w:w="831" w:type="dxa"/>
            <w:vAlign w:val="center"/>
          </w:tcPr>
          <w:p>
            <w:pPr>
              <w:spacing w:line="360" w:lineRule="auto"/>
              <w:jc w:val="center"/>
              <w:rPr>
                <w:rFonts w:cs="宋体-18030" w:asciiTheme="minorEastAsia" w:hAnsiTheme="minorEastAsia"/>
                <w:kern w:val="0"/>
                <w:sz w:val="24"/>
                <w:lang w:val="zh-CN"/>
              </w:rPr>
            </w:pPr>
          </w:p>
        </w:tc>
        <w:tc>
          <w:tcPr>
            <w:tcW w:w="1196" w:type="dxa"/>
            <w:vAlign w:val="center"/>
          </w:tcPr>
          <w:p>
            <w:pPr>
              <w:spacing w:line="360" w:lineRule="auto"/>
              <w:jc w:val="center"/>
              <w:rPr>
                <w:rFonts w:cs="宋体-18030" w:asciiTheme="minorEastAsia" w:hAnsiTheme="minorEastAsia"/>
                <w:kern w:val="0"/>
                <w:sz w:val="24"/>
                <w:lang w:val="zh-CN"/>
              </w:rPr>
            </w:pPr>
          </w:p>
        </w:tc>
        <w:tc>
          <w:tcPr>
            <w:tcW w:w="1161" w:type="dxa"/>
            <w:vAlign w:val="center"/>
          </w:tcPr>
          <w:p>
            <w:pPr>
              <w:spacing w:line="360" w:lineRule="auto"/>
              <w:jc w:val="center"/>
              <w:rPr>
                <w:rFonts w:cs="宋体-18030" w:asciiTheme="minorEastAsia" w:hAnsiTheme="minorEastAsia"/>
                <w:kern w:val="0"/>
                <w:sz w:val="24"/>
                <w:lang w:val="zh-CN"/>
              </w:rPr>
            </w:pPr>
          </w:p>
        </w:tc>
        <w:tc>
          <w:tcPr>
            <w:tcW w:w="1793" w:type="dxa"/>
            <w:vAlign w:val="center"/>
          </w:tcPr>
          <w:p>
            <w:pPr>
              <w:spacing w:line="360" w:lineRule="auto"/>
              <w:jc w:val="center"/>
              <w:rPr>
                <w:rFonts w:cs="宋体-18030" w:asciiTheme="minorEastAsia" w:hAnsiTheme="minorEastAsia"/>
                <w:kern w:val="0"/>
                <w:sz w:val="24"/>
                <w:lang w:val="zh-CN"/>
              </w:rPr>
            </w:pPr>
          </w:p>
        </w:tc>
        <w:tc>
          <w:tcPr>
            <w:tcW w:w="113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8" w:type="dxa"/>
            <w:vAlign w:val="center"/>
          </w:tcPr>
          <w:p>
            <w:pPr>
              <w:spacing w:line="360" w:lineRule="auto"/>
              <w:jc w:val="center"/>
              <w:rPr>
                <w:rFonts w:cs="宋体-18030" w:asciiTheme="minorEastAsia" w:hAnsiTheme="minorEastAsia"/>
                <w:kern w:val="0"/>
                <w:sz w:val="24"/>
                <w:lang w:val="zh-CN"/>
              </w:rPr>
            </w:pPr>
          </w:p>
        </w:tc>
        <w:tc>
          <w:tcPr>
            <w:tcW w:w="867" w:type="dxa"/>
            <w:vAlign w:val="center"/>
          </w:tcPr>
          <w:p>
            <w:pPr>
              <w:spacing w:line="360" w:lineRule="auto"/>
              <w:jc w:val="center"/>
              <w:rPr>
                <w:rFonts w:cs="宋体-18030" w:asciiTheme="minorEastAsia" w:hAnsiTheme="minorEastAsia"/>
                <w:kern w:val="0"/>
                <w:sz w:val="24"/>
                <w:lang w:val="zh-CN"/>
              </w:rPr>
            </w:pPr>
          </w:p>
        </w:tc>
        <w:tc>
          <w:tcPr>
            <w:tcW w:w="936" w:type="dxa"/>
            <w:vAlign w:val="center"/>
          </w:tcPr>
          <w:p>
            <w:pPr>
              <w:spacing w:line="360" w:lineRule="auto"/>
              <w:jc w:val="center"/>
              <w:rPr>
                <w:rFonts w:cs="宋体-18030" w:asciiTheme="minorEastAsia" w:hAnsiTheme="minorEastAsia"/>
                <w:kern w:val="0"/>
                <w:sz w:val="24"/>
                <w:lang w:val="zh-CN"/>
              </w:rPr>
            </w:pPr>
          </w:p>
        </w:tc>
        <w:tc>
          <w:tcPr>
            <w:tcW w:w="831" w:type="dxa"/>
            <w:vAlign w:val="center"/>
          </w:tcPr>
          <w:p>
            <w:pPr>
              <w:spacing w:line="360" w:lineRule="auto"/>
              <w:jc w:val="center"/>
              <w:rPr>
                <w:rFonts w:cs="宋体-18030" w:asciiTheme="minorEastAsia" w:hAnsiTheme="minorEastAsia"/>
                <w:kern w:val="0"/>
                <w:sz w:val="24"/>
                <w:lang w:val="zh-CN"/>
              </w:rPr>
            </w:pPr>
          </w:p>
        </w:tc>
        <w:tc>
          <w:tcPr>
            <w:tcW w:w="1196" w:type="dxa"/>
            <w:vAlign w:val="center"/>
          </w:tcPr>
          <w:p>
            <w:pPr>
              <w:spacing w:line="360" w:lineRule="auto"/>
              <w:jc w:val="center"/>
              <w:rPr>
                <w:rFonts w:cs="宋体-18030" w:asciiTheme="minorEastAsia" w:hAnsiTheme="minorEastAsia"/>
                <w:kern w:val="0"/>
                <w:sz w:val="24"/>
                <w:lang w:val="zh-CN"/>
              </w:rPr>
            </w:pPr>
          </w:p>
        </w:tc>
        <w:tc>
          <w:tcPr>
            <w:tcW w:w="1161" w:type="dxa"/>
            <w:vAlign w:val="center"/>
          </w:tcPr>
          <w:p>
            <w:pPr>
              <w:spacing w:line="360" w:lineRule="auto"/>
              <w:jc w:val="center"/>
              <w:rPr>
                <w:rFonts w:cs="宋体-18030" w:asciiTheme="minorEastAsia" w:hAnsiTheme="minorEastAsia"/>
                <w:kern w:val="0"/>
                <w:sz w:val="24"/>
                <w:lang w:val="zh-CN"/>
              </w:rPr>
            </w:pPr>
          </w:p>
        </w:tc>
        <w:tc>
          <w:tcPr>
            <w:tcW w:w="1793" w:type="dxa"/>
            <w:vAlign w:val="center"/>
          </w:tcPr>
          <w:p>
            <w:pPr>
              <w:spacing w:line="360" w:lineRule="auto"/>
              <w:jc w:val="center"/>
              <w:rPr>
                <w:rFonts w:cs="宋体-18030" w:asciiTheme="minorEastAsia" w:hAnsiTheme="minorEastAsia"/>
                <w:kern w:val="0"/>
                <w:sz w:val="24"/>
                <w:lang w:val="zh-CN"/>
              </w:rPr>
            </w:pPr>
          </w:p>
        </w:tc>
        <w:tc>
          <w:tcPr>
            <w:tcW w:w="113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8" w:type="dxa"/>
            <w:vAlign w:val="center"/>
          </w:tcPr>
          <w:p>
            <w:pPr>
              <w:spacing w:line="360" w:lineRule="auto"/>
              <w:jc w:val="center"/>
              <w:rPr>
                <w:rFonts w:cs="宋体-18030" w:asciiTheme="minorEastAsia" w:hAnsiTheme="minorEastAsia"/>
                <w:kern w:val="0"/>
                <w:sz w:val="24"/>
                <w:lang w:val="zh-CN"/>
              </w:rPr>
            </w:pPr>
          </w:p>
        </w:tc>
        <w:tc>
          <w:tcPr>
            <w:tcW w:w="867" w:type="dxa"/>
            <w:vAlign w:val="center"/>
          </w:tcPr>
          <w:p>
            <w:pPr>
              <w:spacing w:line="360" w:lineRule="auto"/>
              <w:jc w:val="center"/>
              <w:rPr>
                <w:rFonts w:cs="宋体-18030" w:asciiTheme="minorEastAsia" w:hAnsiTheme="minorEastAsia"/>
                <w:kern w:val="0"/>
                <w:sz w:val="24"/>
                <w:lang w:val="zh-CN"/>
              </w:rPr>
            </w:pPr>
          </w:p>
        </w:tc>
        <w:tc>
          <w:tcPr>
            <w:tcW w:w="936" w:type="dxa"/>
            <w:vAlign w:val="center"/>
          </w:tcPr>
          <w:p>
            <w:pPr>
              <w:spacing w:line="360" w:lineRule="auto"/>
              <w:jc w:val="center"/>
              <w:rPr>
                <w:rFonts w:cs="宋体-18030" w:asciiTheme="minorEastAsia" w:hAnsiTheme="minorEastAsia"/>
                <w:kern w:val="0"/>
                <w:sz w:val="24"/>
                <w:lang w:val="zh-CN"/>
              </w:rPr>
            </w:pPr>
          </w:p>
        </w:tc>
        <w:tc>
          <w:tcPr>
            <w:tcW w:w="831" w:type="dxa"/>
            <w:vAlign w:val="center"/>
          </w:tcPr>
          <w:p>
            <w:pPr>
              <w:spacing w:line="360" w:lineRule="auto"/>
              <w:jc w:val="center"/>
              <w:rPr>
                <w:rFonts w:cs="宋体-18030" w:asciiTheme="minorEastAsia" w:hAnsiTheme="minorEastAsia"/>
                <w:kern w:val="0"/>
                <w:sz w:val="24"/>
                <w:lang w:val="zh-CN"/>
              </w:rPr>
            </w:pPr>
          </w:p>
        </w:tc>
        <w:tc>
          <w:tcPr>
            <w:tcW w:w="1196" w:type="dxa"/>
            <w:vAlign w:val="center"/>
          </w:tcPr>
          <w:p>
            <w:pPr>
              <w:spacing w:line="360" w:lineRule="auto"/>
              <w:jc w:val="center"/>
              <w:rPr>
                <w:rFonts w:cs="宋体-18030" w:asciiTheme="minorEastAsia" w:hAnsiTheme="minorEastAsia"/>
                <w:kern w:val="0"/>
                <w:sz w:val="24"/>
                <w:lang w:val="zh-CN"/>
              </w:rPr>
            </w:pPr>
          </w:p>
        </w:tc>
        <w:tc>
          <w:tcPr>
            <w:tcW w:w="1161" w:type="dxa"/>
            <w:vAlign w:val="center"/>
          </w:tcPr>
          <w:p>
            <w:pPr>
              <w:spacing w:line="360" w:lineRule="auto"/>
              <w:jc w:val="center"/>
              <w:rPr>
                <w:rFonts w:cs="宋体-18030" w:asciiTheme="minorEastAsia" w:hAnsiTheme="minorEastAsia"/>
                <w:kern w:val="0"/>
                <w:sz w:val="24"/>
                <w:lang w:val="zh-CN"/>
              </w:rPr>
            </w:pPr>
          </w:p>
        </w:tc>
        <w:tc>
          <w:tcPr>
            <w:tcW w:w="1793" w:type="dxa"/>
            <w:vAlign w:val="center"/>
          </w:tcPr>
          <w:p>
            <w:pPr>
              <w:spacing w:line="360" w:lineRule="auto"/>
              <w:jc w:val="center"/>
              <w:rPr>
                <w:rFonts w:cs="宋体-18030" w:asciiTheme="minorEastAsia" w:hAnsiTheme="minorEastAsia"/>
                <w:kern w:val="0"/>
                <w:sz w:val="24"/>
                <w:lang w:val="zh-CN"/>
              </w:rPr>
            </w:pPr>
          </w:p>
        </w:tc>
        <w:tc>
          <w:tcPr>
            <w:tcW w:w="1135"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589" w:type="dxa"/>
            <w:gridSpan w:val="6"/>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c>
          <w:tcPr>
            <w:tcW w:w="1793" w:type="dxa"/>
            <w:vAlign w:val="center"/>
          </w:tcPr>
          <w:p>
            <w:pPr>
              <w:spacing w:line="360" w:lineRule="auto"/>
              <w:jc w:val="left"/>
              <w:rPr>
                <w:rFonts w:hint="eastAsia" w:cs="宋体-18030" w:asciiTheme="minorEastAsia" w:hAnsiTheme="minorEastAsia"/>
                <w:kern w:val="0"/>
                <w:sz w:val="24"/>
                <w:lang w:val="zh-CN"/>
              </w:rPr>
            </w:pPr>
          </w:p>
        </w:tc>
        <w:tc>
          <w:tcPr>
            <w:tcW w:w="1135" w:type="dxa"/>
            <w:vAlign w:val="center"/>
          </w:tcPr>
          <w:p>
            <w:pPr>
              <w:spacing w:line="360" w:lineRule="auto"/>
              <w:jc w:val="left"/>
              <w:rPr>
                <w:rFonts w:hint="eastAsia"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lang w:val="en-US" w:eastAsia="zh-CN"/>
        </w:rPr>
        <w:t>本次报价为综合单价包含但不限于安装、运输、安装人工费及税费等。</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zEzNWVlNzM2NDRkMWQwOGMzNTVhNzFiMGE1YzM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C1FD5"/>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D76CDB"/>
    <w:rsid w:val="00DE2984"/>
    <w:rsid w:val="00E62591"/>
    <w:rsid w:val="00E7392B"/>
    <w:rsid w:val="00EB1303"/>
    <w:rsid w:val="00EC5235"/>
    <w:rsid w:val="00F815D3"/>
    <w:rsid w:val="00FE4DD7"/>
    <w:rsid w:val="00FE7851"/>
    <w:rsid w:val="00FF34C4"/>
    <w:rsid w:val="00FF3BEE"/>
    <w:rsid w:val="00FF4698"/>
    <w:rsid w:val="0187096A"/>
    <w:rsid w:val="04AA391A"/>
    <w:rsid w:val="092B7C9B"/>
    <w:rsid w:val="0BEC10BE"/>
    <w:rsid w:val="0CE73D84"/>
    <w:rsid w:val="0F9C4F38"/>
    <w:rsid w:val="17FC5E81"/>
    <w:rsid w:val="1CC31199"/>
    <w:rsid w:val="26E26465"/>
    <w:rsid w:val="284138AF"/>
    <w:rsid w:val="2F860760"/>
    <w:rsid w:val="311B31B5"/>
    <w:rsid w:val="34887CBA"/>
    <w:rsid w:val="375D7870"/>
    <w:rsid w:val="3A7474D7"/>
    <w:rsid w:val="41B859F1"/>
    <w:rsid w:val="46331A6C"/>
    <w:rsid w:val="47FE21A4"/>
    <w:rsid w:val="489C1BEB"/>
    <w:rsid w:val="489E78CB"/>
    <w:rsid w:val="4A1252C8"/>
    <w:rsid w:val="4BDE3671"/>
    <w:rsid w:val="4C6C25A5"/>
    <w:rsid w:val="4DE772D3"/>
    <w:rsid w:val="51255565"/>
    <w:rsid w:val="580D17EF"/>
    <w:rsid w:val="5A4757D5"/>
    <w:rsid w:val="5B026958"/>
    <w:rsid w:val="62962AF2"/>
    <w:rsid w:val="6C336996"/>
    <w:rsid w:val="72025DC0"/>
    <w:rsid w:val="724476CA"/>
    <w:rsid w:val="7354137D"/>
    <w:rsid w:val="7AB229CD"/>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ind w:firstLine="420" w:firstLineChars="200"/>
    </w:pPr>
    <w:rPr>
      <w:rFonts w:ascii="Times New Roman" w:hAnsi="Times New Roman" w:eastAsia="宋体" w:cs="Times New Roman"/>
      <w:szCs w:val="24"/>
    </w:rPr>
  </w:style>
  <w:style w:type="paragraph" w:styleId="4">
    <w:name w:val="annotation text"/>
    <w:basedOn w:val="1"/>
    <w:link w:val="22"/>
    <w:semiHidden/>
    <w:unhideWhenUsed/>
    <w:qFormat/>
    <w:uiPriority w:val="99"/>
    <w:pPr>
      <w:jc w:val="left"/>
    </w:pPr>
  </w:style>
  <w:style w:type="paragraph" w:styleId="5">
    <w:name w:val="Body Text"/>
    <w:basedOn w:val="1"/>
    <w:next w:val="1"/>
    <w:link w:val="20"/>
    <w:qFormat/>
    <w:uiPriority w:val="99"/>
    <w:pPr>
      <w:spacing w:after="120"/>
    </w:pPr>
    <w:rPr>
      <w:szCs w:val="24"/>
    </w:rPr>
  </w:style>
  <w:style w:type="paragraph" w:styleId="6">
    <w:name w:val="Plain Text"/>
    <w:basedOn w:val="1"/>
    <w:link w:val="24"/>
    <w:qFormat/>
    <w:uiPriority w:val="0"/>
    <w:rPr>
      <w:rFonts w:ascii="宋体" w:hAnsi="Courier New" w:eastAsia="宋体" w:cs="Courier New"/>
      <w:szCs w:val="21"/>
    </w:rPr>
  </w:style>
  <w:style w:type="paragraph" w:styleId="7">
    <w:name w:val="Balloon Text"/>
    <w:basedOn w:val="1"/>
    <w:link w:val="16"/>
    <w:semiHidden/>
    <w:unhideWhenUsed/>
    <w:qFormat/>
    <w:uiPriority w:val="99"/>
    <w:rPr>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BodyText"/>
    <w:basedOn w:val="1"/>
    <w:next w:val="14"/>
    <w:qFormat/>
    <w:uiPriority w:val="0"/>
    <w:pPr>
      <w:jc w:val="both"/>
      <w:textAlignment w:val="baseline"/>
    </w:pPr>
    <w:rPr>
      <w:kern w:val="2"/>
      <w:sz w:val="24"/>
      <w:szCs w:val="24"/>
      <w:lang w:val="en-US" w:eastAsia="zh-CN" w:bidi="ar-SA"/>
    </w:rPr>
  </w:style>
  <w:style w:type="paragraph" w:customStyle="1" w:styleId="14">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15">
    <w:name w:val="List Paragraph"/>
    <w:basedOn w:val="1"/>
    <w:link w:val="18"/>
    <w:qFormat/>
    <w:uiPriority w:val="0"/>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正文缩进 Char"/>
    <w:link w:val="3"/>
    <w:qFormat/>
    <w:uiPriority w:val="0"/>
    <w:rPr>
      <w:rFonts w:ascii="Times New Roman" w:hAnsi="Times New Roman" w:eastAsia="宋体" w:cs="Times New Roman"/>
      <w:szCs w:val="24"/>
    </w:rPr>
  </w:style>
  <w:style w:type="character" w:customStyle="1" w:styleId="18">
    <w:name w:val="列出段落 Char"/>
    <w:link w:val="15"/>
    <w:qFormat/>
    <w:uiPriority w:val="0"/>
  </w:style>
  <w:style w:type="paragraph" w:customStyle="1" w:styleId="1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5"/>
    <w:qFormat/>
    <w:locked/>
    <w:uiPriority w:val="99"/>
    <w:rPr>
      <w:szCs w:val="24"/>
    </w:rPr>
  </w:style>
  <w:style w:type="character" w:customStyle="1" w:styleId="21">
    <w:name w:val="正文文本 Char1"/>
    <w:basedOn w:val="11"/>
    <w:semiHidden/>
    <w:qFormat/>
    <w:uiPriority w:val="99"/>
  </w:style>
  <w:style w:type="character" w:customStyle="1" w:styleId="22">
    <w:name w:val="批注文字 Char"/>
    <w:basedOn w:val="11"/>
    <w:link w:val="4"/>
    <w:semiHidden/>
    <w:qFormat/>
    <w:uiPriority w:val="99"/>
  </w:style>
  <w:style w:type="character" w:customStyle="1" w:styleId="23">
    <w:name w:val="批注主题 Char"/>
    <w:basedOn w:val="22"/>
    <w:link w:val="8"/>
    <w:semiHidden/>
    <w:qFormat/>
    <w:uiPriority w:val="99"/>
    <w:rPr>
      <w:b/>
      <w:bCs/>
    </w:rPr>
  </w:style>
  <w:style w:type="character" w:customStyle="1" w:styleId="24">
    <w:name w:val="纯文本 Char"/>
    <w:basedOn w:val="11"/>
    <w:link w:val="6"/>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2082</Words>
  <Characters>2204</Characters>
  <Lines>35</Lines>
  <Paragraphs>10</Paragraphs>
  <TotalTime>1</TotalTime>
  <ScaleCrop>false</ScaleCrop>
  <LinksUpToDate>false</LinksUpToDate>
  <CharactersWithSpaces>2353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dawn</cp:lastModifiedBy>
  <dcterms:modified xsi:type="dcterms:W3CDTF">2023-10-07T03:21:52Z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AC2BF5C1B6C048AC88F0A8CA6E1A47E5</vt:lpwstr>
  </property>
</Properties>
</file>