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营养物资一批</w:t>
      </w:r>
      <w:r>
        <w:rPr>
          <w:rFonts w:hint="eastAsia" w:ascii="方正小标宋简体" w:hAnsi="方正小标宋简体" w:eastAsia="方正小标宋简体"/>
          <w:sz w:val="44"/>
          <w:szCs w:val="44"/>
          <w:lang w:eastAsia="zh-CN"/>
        </w:rPr>
        <w:t>（第三次）</w:t>
      </w:r>
      <w:r>
        <w:rPr>
          <w:rFonts w:hint="eastAsia" w:ascii="方正小标宋简体" w:hAnsi="方正小标宋简体" w:eastAsia="方正小标宋简体"/>
          <w:sz w:val="44"/>
          <w:szCs w:val="44"/>
        </w:rPr>
        <w:t>询价采购需求</w:t>
      </w:r>
    </w:p>
    <w:p>
      <w:pPr>
        <w:keepNext w:val="0"/>
        <w:keepLines w:val="0"/>
        <w:pageBreakBefore w:val="0"/>
        <w:widowControl/>
        <w:numPr>
          <w:ilvl w:val="255"/>
          <w:numId w:val="0"/>
        </w:numPr>
        <w:shd w:val="clear" w:color="auto" w:fill="FFFFFF"/>
        <w:kinsoku/>
        <w:wordWrap/>
        <w:overflowPunct/>
        <w:topLinePunct w:val="0"/>
        <w:autoSpaceDE/>
        <w:autoSpaceDN/>
        <w:bidi w:val="0"/>
        <w:adjustRightInd/>
        <w:spacing w:line="360" w:lineRule="auto"/>
        <w:jc w:val="left"/>
        <w:rPr>
          <w:rFonts w:asciiTheme="minorEastAsia" w:hAnsiTheme="minorEastAsia" w:cstheme="minorEastAsia"/>
          <w:b/>
          <w:bCs/>
          <w:sz w:val="28"/>
          <w:szCs w:val="28"/>
        </w:rPr>
      </w:pPr>
    </w:p>
    <w:p>
      <w:pPr>
        <w:pStyle w:val="9"/>
        <w:keepNext w:val="0"/>
        <w:keepLines w:val="0"/>
        <w:pageBreakBefore w:val="0"/>
        <w:kinsoku/>
        <w:wordWrap/>
        <w:overflowPunct/>
        <w:topLinePunct w:val="0"/>
        <w:autoSpaceDE/>
        <w:autoSpaceDN/>
        <w:bidi w:val="0"/>
        <w:adjustRightInd/>
        <w:snapToGrid w:val="0"/>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医疗业务的正常开展，需购买一批营养物资。本项目供货期限为自签订合同之日起1年内，本项目由于其特殊性，数量不确定，根据工作需要，以实际供货数量为准，累计结算金额不得超过预算金额13.5万元，分项限价见“采购清单及技术要求”。</w:t>
      </w:r>
    </w:p>
    <w:p>
      <w:pPr>
        <w:keepNext w:val="0"/>
        <w:keepLines w:val="0"/>
        <w:pageBreakBefore w:val="0"/>
        <w:widowControl/>
        <w:numPr>
          <w:ilvl w:val="0"/>
          <w:numId w:val="1"/>
        </w:numPr>
        <w:shd w:val="clear" w:color="auto" w:fill="FFFFFF"/>
        <w:kinsoku/>
        <w:wordWrap/>
        <w:overflowPunct/>
        <w:topLinePunct w:val="0"/>
        <w:autoSpaceDE/>
        <w:autoSpaceDN/>
        <w:bidi w:val="0"/>
        <w:adjustRightInd/>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6"/>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265"/>
        <w:gridCol w:w="789"/>
        <w:gridCol w:w="1214"/>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b/>
                <w:bCs/>
                <w:color w:val="auto"/>
                <w:szCs w:val="21"/>
              </w:rPr>
            </w:pPr>
            <w:r>
              <w:rPr>
                <w:rFonts w:hint="eastAsia" w:ascii="宋体" w:hAnsi="宋体" w:cs="宋体"/>
                <w:b/>
                <w:bCs/>
                <w:color w:val="auto"/>
                <w:szCs w:val="21"/>
              </w:rPr>
              <w:t>产品名称</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b/>
                <w:bCs/>
                <w:color w:val="auto"/>
                <w:szCs w:val="21"/>
              </w:rPr>
            </w:pPr>
            <w:r>
              <w:rPr>
                <w:rFonts w:hint="eastAsia" w:ascii="宋体" w:hAnsi="宋体" w:cs="宋体"/>
                <w:b/>
                <w:bCs/>
                <w:color w:val="auto"/>
                <w:szCs w:val="21"/>
              </w:rPr>
              <w:t>计价单位</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b/>
                <w:bCs/>
                <w:color w:val="auto"/>
                <w:szCs w:val="21"/>
              </w:rPr>
            </w:pPr>
            <w:r>
              <w:rPr>
                <w:rFonts w:hint="eastAsia" w:ascii="宋体" w:hAnsi="宋体" w:cs="宋体"/>
                <w:b/>
                <w:bCs/>
                <w:color w:val="auto"/>
                <w:szCs w:val="21"/>
              </w:rPr>
              <w:t>最高单价限价（元）</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b/>
                <w:bCs/>
                <w:color w:val="auto"/>
                <w:szCs w:val="21"/>
              </w:rPr>
            </w:pPr>
            <w:r>
              <w:rPr>
                <w:rFonts w:hint="eastAsia" w:ascii="宋体" w:hAnsi="宋体" w:cs="宋体"/>
                <w:b/>
                <w:bCs/>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整蛋白型营养制剂</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12.4</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1.每100g蛋白质含量≥15g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2.每100g脂肪含量≥11g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3.每100g碳水化合物含量≥55g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4.每100g膳食纤维含量≥3g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2</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hint="default" w:ascii="宋体" w:hAnsi="宋体" w:cs="宋体" w:eastAsiaTheme="minorEastAsia"/>
                <w:color w:val="auto"/>
                <w:szCs w:val="21"/>
                <w:lang w:val="en-US" w:eastAsia="zh-CN"/>
              </w:rPr>
            </w:pPr>
            <w:r>
              <w:rPr>
                <w:rFonts w:hint="eastAsia"/>
                <w:color w:val="auto"/>
                <w:lang w:eastAsia="zh-CN"/>
              </w:rPr>
              <w:t>整蛋白膳食纤维营养素饮料</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100ml</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15</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1.每100ml蛋白质含量≥3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2.每100ml脂肪含量≤</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3.每100ml碳水化合物含量≥10g。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3</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短肽型配方营养制剂</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43</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1.每100g蛋白质含量≥16g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2.每100g脂肪含量≥2g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3.每100g碳水化合物含量≥70g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4</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肿瘤全营养</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42</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1.每100g蛋白质含量≥21g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2.每100g脂肪含量≥2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3.每100g碳水化合物含量＜60g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5</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低GI型营养制剂（糖尿病全营养）</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18</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1.每100g蛋白质含量≥18g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2.每100g脂肪含量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14g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3.每100g碳水化合物含量</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6</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纤维型匀浆</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8</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1.每100g蛋白质含量≥17g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2.每100g脂肪含量≤15g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3.每100g碳水化合物含量≥50g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7</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乳清蛋白营养制剂</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47</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1.每100g蛋白质含量≥80g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8</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膳食纤维饮料</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75</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 膳食纤维≥88g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9</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益生菌</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330</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1.益生菌种类不低于</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种</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highlight w:val="none"/>
              </w:rPr>
            </w:pPr>
            <w:r>
              <w:rPr>
                <w:rFonts w:hint="eastAsia" w:ascii="宋体" w:hAnsi="宋体" w:cs="宋体"/>
                <w:color w:val="auto"/>
                <w:szCs w:val="21"/>
                <w:highlight w:val="none"/>
              </w:rPr>
              <w:t>2.每</w:t>
            </w:r>
            <w:r>
              <w:rPr>
                <w:rFonts w:hint="eastAsia" w:ascii="宋体" w:hAnsi="宋体" w:cs="宋体"/>
                <w:color w:val="auto"/>
                <w:szCs w:val="21"/>
                <w:highlight w:val="none"/>
                <w:lang w:eastAsia="zh-CN"/>
              </w:rPr>
              <w:t>克</w:t>
            </w:r>
            <w:r>
              <w:rPr>
                <w:rFonts w:hint="eastAsia" w:ascii="宋体" w:hAnsi="宋体" w:cs="宋体"/>
                <w:color w:val="auto"/>
                <w:szCs w:val="21"/>
                <w:highlight w:val="none"/>
              </w:rPr>
              <w:t>活菌数≥100亿cfu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麦芽糊精</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4</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1.碳水化合物含量≥90%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11</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MCT组件</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98</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1. 每100 g能量≥2800KJ，脂肪含量≥60%。</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2. 最小包装不得大于15g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12</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谷氨酰胺组件</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100</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1.谷氨酰胺：≥70.0g</w:t>
            </w:r>
          </w:p>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2.蛋白质：≥95.0g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0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13</w:t>
            </w:r>
          </w:p>
        </w:tc>
        <w:tc>
          <w:tcPr>
            <w:tcW w:w="1364"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铁元素组件</w:t>
            </w:r>
          </w:p>
        </w:tc>
        <w:tc>
          <w:tcPr>
            <w:tcW w:w="475"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s="宋体"/>
                <w:color w:val="auto"/>
                <w:szCs w:val="21"/>
              </w:rPr>
            </w:pPr>
            <w:r>
              <w:rPr>
                <w:rFonts w:hint="eastAsia" w:ascii="宋体" w:hAnsi="宋体" w:cs="宋体"/>
                <w:color w:val="auto"/>
                <w:szCs w:val="21"/>
              </w:rPr>
              <w:t>100克</w:t>
            </w:r>
          </w:p>
        </w:tc>
        <w:tc>
          <w:tcPr>
            <w:tcW w:w="731"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szCs w:val="21"/>
              </w:rPr>
            </w:pPr>
            <w:r>
              <w:rPr>
                <w:rFonts w:hint="eastAsia" w:ascii="宋体" w:hAnsi="宋体" w:cs="宋体"/>
                <w:color w:val="auto"/>
                <w:kern w:val="0"/>
                <w:sz w:val="22"/>
              </w:rPr>
              <w:t>250</w:t>
            </w:r>
          </w:p>
        </w:tc>
        <w:tc>
          <w:tcPr>
            <w:tcW w:w="2027"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pacing w:line="360" w:lineRule="auto"/>
              <w:rPr>
                <w:rFonts w:ascii="宋体" w:hAnsi="宋体" w:cs="宋体"/>
                <w:color w:val="auto"/>
                <w:szCs w:val="21"/>
              </w:rPr>
            </w:pPr>
            <w:r>
              <w:rPr>
                <w:rFonts w:hint="eastAsia" w:ascii="宋体" w:hAnsi="宋体" w:cs="宋体"/>
                <w:color w:val="auto"/>
                <w:szCs w:val="21"/>
              </w:rPr>
              <w:t>1.每100g铁元素含量≥</w:t>
            </w:r>
            <w:r>
              <w:rPr>
                <w:rFonts w:hint="eastAsia" w:ascii="宋体" w:hAnsi="宋体" w:cs="宋体"/>
                <w:color w:val="auto"/>
                <w:szCs w:val="21"/>
                <w:lang w:val="en-US" w:eastAsia="zh-CN"/>
              </w:rPr>
              <w:t>3</w:t>
            </w:r>
            <w:r>
              <w:rPr>
                <w:rFonts w:hint="eastAsia" w:ascii="宋体" w:hAnsi="宋体" w:cs="宋体"/>
                <w:color w:val="auto"/>
                <w:szCs w:val="21"/>
              </w:rPr>
              <w:t>00.0mg</w:t>
            </w:r>
          </w:p>
        </w:tc>
      </w:tr>
    </w:tbl>
    <w:p>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宋体" w:hAnsi="宋体" w:cs="宋体"/>
          <w:b/>
          <w:bCs/>
          <w:sz w:val="24"/>
        </w:rPr>
        <w:t>说明：</w:t>
      </w:r>
      <w:r>
        <w:rPr>
          <w:rFonts w:hint="eastAsia" w:ascii="宋体" w:hAnsi="宋体" w:cs="宋体"/>
          <w:sz w:val="24"/>
        </w:rPr>
        <w:t>以上所有产品均需提供</w:t>
      </w:r>
      <w:r>
        <w:rPr>
          <w:rFonts w:hint="eastAsia" w:ascii="宋体" w:hAnsi="宋体" w:cs="宋体"/>
          <w:sz w:val="24"/>
          <w:lang w:eastAsia="zh-CN"/>
        </w:rPr>
        <w:t>产品标签图片</w:t>
      </w:r>
      <w:r>
        <w:rPr>
          <w:rFonts w:hint="eastAsia" w:ascii="宋体" w:hAnsi="宋体" w:cs="宋体"/>
          <w:sz w:val="24"/>
        </w:rPr>
        <w:t>，并加盖投标人公章。</w:t>
      </w:r>
      <w:r>
        <w:rPr>
          <w:rFonts w:hint="eastAsia" w:ascii="宋体" w:hAnsi="宋体" w:cs="宋体"/>
          <w:b/>
          <w:bCs/>
          <w:sz w:val="24"/>
        </w:rPr>
        <w:t>（实质性要求）</w:t>
      </w:r>
    </w:p>
    <w:p>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Theme="minorEastAsia" w:hAnsiTheme="minorEastAsia"/>
          <w:b/>
          <w:bCs/>
          <w:sz w:val="24"/>
          <w:szCs w:val="24"/>
        </w:rPr>
        <w:t>三、服务及商务要求</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1、服务期限：1年</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2、交货地点：医院指定地点。</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b/>
          <w:bCs/>
          <w:sz w:val="24"/>
        </w:rPr>
      </w:pPr>
      <w:r>
        <w:rPr>
          <w:rFonts w:hint="eastAsia" w:ascii="宋体" w:hAnsi="宋体" w:cs="宋体"/>
          <w:sz w:val="24"/>
        </w:rPr>
        <w:t>3、付款方式：成交供应商按采购人需求按时将采购货物配送完成，按批次提供配送清单和当批次检测报告、验收凭证，以及与其金额相等、合法有效的全额正式发票给采购人，采购人确认无误后，于次月起30个工作日内按配送清单数量支付该批次货物的费用，所有款项转账支付。</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4、交货时间：合同签订后，以采购人实际需求通知为准，供应商72小时内完成送货，每批次质检报告必须随货送到。</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5、验收标准：采购人与成交供应商应严格按照《财政部关于进一步加强政府采购需求和履约验收管理的指导意见》（财库〔2016〕205号）以及采购文件的质量要求和技术指标、供应商的响应文件及承诺与本合同约定标准的要求进行验收。</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6、供应商提供的货物非陈货，剩余有效期不低于总有效期的三分之二。成交供应商须承诺在签订合同前提供所有产品在有效期内相应的授权书和相关注册证明文件（提供相关承诺函，格式自拟），否则视为虚假响应，采购人有权拒绝签订合同并汇报同级财政部门处理；若在合同期间成交供应商所提供产品的授权结束，采购人有权在其他供应商处采购。</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7、验收时如发现所交付的货物有短装、次品、损坏、污染、污垢或其他不符合国家或行业标准之情形者，采购人有权拒绝收货，并视作供应商不能及时交付货物，若发生2次，采购人有权随时解除合同。</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8、成交供应商提供的货物因临床使用中出现服务对象月度不满意超过3例的，采购人可以单方面解除合同；如造成食品安全问题的，由成交供应商负全部责任，并赔偿采购人全部经济损失，采购人有权随时解除合同。</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9、配送的产品名称、规格、包装、组成成分等须与响应产品内容信息完全一致。</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10、成交供应商须提供7*24小时技术援助电话，解答用户在使用中遇到的问题，及时提出解决冋题的建议和操作方法。</w:t>
      </w:r>
    </w:p>
    <w:p>
      <w:pPr>
        <w:keepNext w:val="0"/>
        <w:keepLines w:val="0"/>
        <w:pageBreakBefore w:val="0"/>
        <w:kinsoku/>
        <w:wordWrap/>
        <w:overflowPunct/>
        <w:topLinePunct w:val="0"/>
        <w:autoSpaceDE/>
        <w:autoSpaceDN/>
        <w:bidi w:val="0"/>
        <w:adjustRightInd/>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五、供应商资格要求及证明材料</w:t>
      </w:r>
      <w:bookmarkEnd w:id="0"/>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.根据采购项目提出的特殊条件（提供复印件）：</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sz w:val="24"/>
        </w:rPr>
      </w:pPr>
      <w:r>
        <w:rPr>
          <w:rFonts w:hint="eastAsia" w:ascii="宋体" w:hAnsi="宋体"/>
          <w:sz w:val="24"/>
        </w:rPr>
        <w:t>（1）若</w:t>
      </w:r>
      <w:r>
        <w:rPr>
          <w:rFonts w:ascii="宋体" w:hAnsi="宋体"/>
          <w:sz w:val="24"/>
        </w:rPr>
        <w:t>比选申请人</w:t>
      </w:r>
      <w:r>
        <w:rPr>
          <w:rFonts w:hint="eastAsia" w:ascii="宋体" w:hAnsi="宋体"/>
          <w:sz w:val="24"/>
        </w:rPr>
        <w:t>为</w:t>
      </w:r>
      <w:r>
        <w:rPr>
          <w:rFonts w:ascii="宋体" w:hAnsi="宋体"/>
          <w:sz w:val="24"/>
        </w:rPr>
        <w:t>生产厂家，须</w:t>
      </w:r>
      <w:r>
        <w:rPr>
          <w:rFonts w:hint="eastAsia" w:ascii="宋体" w:hAnsi="宋体"/>
          <w:sz w:val="24"/>
        </w:rPr>
        <w:t>具备</w:t>
      </w:r>
      <w:r>
        <w:rPr>
          <w:rFonts w:ascii="宋体" w:hAnsi="宋体"/>
          <w:sz w:val="24"/>
        </w:rPr>
        <w:t>有效的</w:t>
      </w:r>
      <w:r>
        <w:rPr>
          <w:rFonts w:hint="eastAsia" w:ascii="宋体" w:hAnsi="宋体"/>
          <w:sz w:val="24"/>
        </w:rPr>
        <w:t>《食品生产许可证》《食品经营许可证》。</w:t>
      </w:r>
    </w:p>
    <w:p>
      <w:pPr>
        <w:pStyle w:val="2"/>
        <w:keepNext w:val="0"/>
        <w:keepLines w:val="0"/>
        <w:pageBreakBefore w:val="0"/>
        <w:kinsoku/>
        <w:wordWrap/>
        <w:overflowPunct/>
        <w:topLinePunct w:val="0"/>
        <w:autoSpaceDE/>
        <w:autoSpaceDN/>
        <w:bidi w:val="0"/>
        <w:adjustRightInd/>
        <w:spacing w:line="360" w:lineRule="auto"/>
        <w:ind w:firstLine="480" w:firstLineChars="200"/>
        <w:rPr>
          <w:lang w:val="zh-CN"/>
        </w:rPr>
      </w:pPr>
      <w:r>
        <w:rPr>
          <w:rFonts w:hint="eastAsia" w:ascii="宋体" w:hAnsi="宋体"/>
        </w:rPr>
        <w:t>（2）若</w:t>
      </w:r>
      <w:r>
        <w:rPr>
          <w:rFonts w:ascii="宋体" w:hAnsi="宋体"/>
        </w:rPr>
        <w:t>比选申请人为经销商，须具备有效的</w:t>
      </w:r>
      <w:r>
        <w:rPr>
          <w:rFonts w:hint="eastAsia" w:ascii="宋体" w:hAnsi="宋体"/>
        </w:rPr>
        <w:t>《食品经营许可证》，</w:t>
      </w:r>
      <w:r>
        <w:rPr>
          <w:rFonts w:ascii="宋体" w:hAnsi="宋体"/>
        </w:rPr>
        <w:t>并提供所投产品生产厂家</w:t>
      </w:r>
      <w:r>
        <w:rPr>
          <w:rFonts w:hint="eastAsia" w:ascii="宋体" w:hAnsi="宋体"/>
        </w:rPr>
        <w:t>有效的《食品生产许可证》。</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bCs/>
          <w:kern w:val="0"/>
          <w:sz w:val="24"/>
        </w:rPr>
        <w:t>六、响应文件要求</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rPr>
        <w:t>七</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1.递交响应文件截止时间：2023年</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23</w:t>
      </w:r>
      <w:bookmarkStart w:id="1" w:name="_GoBack"/>
      <w:bookmarkEnd w:id="1"/>
      <w:r>
        <w:rPr>
          <w:rFonts w:hint="eastAsia" w:cs="宋体-18030" w:asciiTheme="minorEastAsia" w:hAnsiTheme="minorEastAsia"/>
          <w:kern w:val="0"/>
          <w:sz w:val="24"/>
        </w:rPr>
        <w:t>日17:00（北京时间）。</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keepNext w:val="0"/>
        <w:keepLines w:val="0"/>
        <w:pageBreakBefore w:val="0"/>
        <w:kinsoku/>
        <w:wordWrap/>
        <w:overflowPunct/>
        <w:topLinePunct w:val="0"/>
        <w:autoSpaceDE/>
        <w:autoSpaceDN/>
        <w:bidi w:val="0"/>
        <w:adjustRightInd/>
        <w:spacing w:line="360" w:lineRule="auto"/>
        <w:ind w:firstLine="480" w:firstLineChars="200"/>
        <w:rPr>
          <w:rStyle w:val="19"/>
          <w:rFonts w:cs="宋体-18030" w:asciiTheme="minorEastAsia" w:hAnsiTheme="minorEastAsia"/>
          <w:b w:val="0"/>
          <w:kern w:val="0"/>
          <w:sz w:val="24"/>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rPr>
        <w:t>八、联系方式</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rPr>
        <w:t xml:space="preserve"> 028-26346672</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九、</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keepNext w:val="0"/>
        <w:keepLines w:val="0"/>
        <w:pageBreakBefore w:val="0"/>
        <w:kinsoku/>
        <w:wordWrap/>
        <w:overflowPunct/>
        <w:topLinePunct w:val="0"/>
        <w:autoSpaceDE/>
        <w:autoSpaceDN/>
        <w:bidi w:val="0"/>
        <w:adjustRightInd/>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211"/>
        <w:gridCol w:w="1473"/>
        <w:gridCol w:w="147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lang w:val="zh-CN"/>
              </w:rPr>
              <w:t>计价单位（100ml或</w:t>
            </w:r>
            <w:r>
              <w:rPr>
                <w:rFonts w:hint="eastAsia" w:cs="宋体-18030" w:asciiTheme="minorEastAsia" w:hAnsiTheme="minorEastAsia"/>
                <w:kern w:val="0"/>
                <w:sz w:val="24"/>
              </w:rPr>
              <w:t>100克</w:t>
            </w:r>
            <w:r>
              <w:rPr>
                <w:rFonts w:hint="eastAsia" w:cs="宋体-18030" w:asciiTheme="minorEastAsia" w:hAnsiTheme="minorEastAsia"/>
                <w:kern w:val="0"/>
                <w:sz w:val="24"/>
                <w:lang w:val="zh-CN"/>
              </w:rPr>
              <w:t>）</w:t>
            </w: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bl>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p>
    <w:p>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keepNext w:val="0"/>
        <w:keepLines w:val="0"/>
        <w:pageBreakBefore w:val="0"/>
        <w:kinsoku/>
        <w:wordWrap/>
        <w:overflowPunct/>
        <w:topLinePunct w:val="0"/>
        <w:autoSpaceDE/>
        <w:autoSpaceDN/>
        <w:bidi w:val="0"/>
        <w:adjustRightInd/>
        <w:spacing w:line="360" w:lineRule="auto"/>
        <w:ind w:firstLine="5160" w:firstLineChars="215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年     月     日   </w:t>
      </w:r>
    </w:p>
    <w:p>
      <w:pPr>
        <w:rPr>
          <w:b/>
          <w:sz w:val="28"/>
        </w:rPr>
      </w:pPr>
    </w:p>
    <w:p>
      <w:pPr>
        <w:rPr>
          <w:b/>
          <w:sz w:val="28"/>
        </w:rPr>
      </w:pPr>
    </w:p>
    <w:p>
      <w:pPr>
        <w:rPr>
          <w:b/>
          <w:sz w:val="28"/>
        </w:rPr>
      </w:pPr>
    </w:p>
    <w:p>
      <w:pPr>
        <w:pStyle w:val="14"/>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I5MzEzNWVlNzM2NDRkMWQwOGMzNTVhNzFiMGE1Yz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706C3"/>
    <w:rsid w:val="001778E9"/>
    <w:rsid w:val="00193141"/>
    <w:rsid w:val="001A1E75"/>
    <w:rsid w:val="001B76C1"/>
    <w:rsid w:val="00203C20"/>
    <w:rsid w:val="002453E4"/>
    <w:rsid w:val="0024691B"/>
    <w:rsid w:val="002479CE"/>
    <w:rsid w:val="00270759"/>
    <w:rsid w:val="00276BFB"/>
    <w:rsid w:val="002A7C37"/>
    <w:rsid w:val="002D0B88"/>
    <w:rsid w:val="002E77F4"/>
    <w:rsid w:val="002F2C9B"/>
    <w:rsid w:val="003001EC"/>
    <w:rsid w:val="00320DF3"/>
    <w:rsid w:val="00326B09"/>
    <w:rsid w:val="00333821"/>
    <w:rsid w:val="00335009"/>
    <w:rsid w:val="00354E2B"/>
    <w:rsid w:val="003A0DE7"/>
    <w:rsid w:val="003C0A6A"/>
    <w:rsid w:val="003C5C58"/>
    <w:rsid w:val="003E0699"/>
    <w:rsid w:val="003F3378"/>
    <w:rsid w:val="004043D0"/>
    <w:rsid w:val="00413FB2"/>
    <w:rsid w:val="00450892"/>
    <w:rsid w:val="00454348"/>
    <w:rsid w:val="00477D37"/>
    <w:rsid w:val="004C6EA1"/>
    <w:rsid w:val="004D3404"/>
    <w:rsid w:val="004D3CBF"/>
    <w:rsid w:val="004E5AB7"/>
    <w:rsid w:val="004E72F3"/>
    <w:rsid w:val="004F55C8"/>
    <w:rsid w:val="00523AC3"/>
    <w:rsid w:val="00540B9C"/>
    <w:rsid w:val="005579F0"/>
    <w:rsid w:val="00581E5A"/>
    <w:rsid w:val="00587C1B"/>
    <w:rsid w:val="00597441"/>
    <w:rsid w:val="005A0E35"/>
    <w:rsid w:val="005C0070"/>
    <w:rsid w:val="005F623F"/>
    <w:rsid w:val="0063008C"/>
    <w:rsid w:val="0065022F"/>
    <w:rsid w:val="00660B9E"/>
    <w:rsid w:val="00671FC7"/>
    <w:rsid w:val="006855D4"/>
    <w:rsid w:val="006E4BF3"/>
    <w:rsid w:val="006E79FF"/>
    <w:rsid w:val="007218F5"/>
    <w:rsid w:val="00746C12"/>
    <w:rsid w:val="00754CE4"/>
    <w:rsid w:val="00762E5A"/>
    <w:rsid w:val="00764687"/>
    <w:rsid w:val="00766168"/>
    <w:rsid w:val="00786B13"/>
    <w:rsid w:val="00792DA0"/>
    <w:rsid w:val="00793451"/>
    <w:rsid w:val="007A5490"/>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911A6"/>
    <w:rsid w:val="00AA26C2"/>
    <w:rsid w:val="00AA3A71"/>
    <w:rsid w:val="00AA749B"/>
    <w:rsid w:val="00AC7A9C"/>
    <w:rsid w:val="00AD219D"/>
    <w:rsid w:val="00AE30A4"/>
    <w:rsid w:val="00B21C8B"/>
    <w:rsid w:val="00B30E70"/>
    <w:rsid w:val="00B5503A"/>
    <w:rsid w:val="00B751A5"/>
    <w:rsid w:val="00B75882"/>
    <w:rsid w:val="00B9636C"/>
    <w:rsid w:val="00BA7C53"/>
    <w:rsid w:val="00BF710E"/>
    <w:rsid w:val="00C07018"/>
    <w:rsid w:val="00C10F2B"/>
    <w:rsid w:val="00C177ED"/>
    <w:rsid w:val="00D16144"/>
    <w:rsid w:val="00D76CDB"/>
    <w:rsid w:val="00D806B6"/>
    <w:rsid w:val="00DE2984"/>
    <w:rsid w:val="00DE6580"/>
    <w:rsid w:val="00E311D1"/>
    <w:rsid w:val="00E35D8F"/>
    <w:rsid w:val="00E62591"/>
    <w:rsid w:val="00E7392B"/>
    <w:rsid w:val="00E812E1"/>
    <w:rsid w:val="00EB1303"/>
    <w:rsid w:val="00EC280D"/>
    <w:rsid w:val="00EC5235"/>
    <w:rsid w:val="00ED0A0E"/>
    <w:rsid w:val="00EE610F"/>
    <w:rsid w:val="00F12F5B"/>
    <w:rsid w:val="00F6003A"/>
    <w:rsid w:val="00F815D3"/>
    <w:rsid w:val="00FE3273"/>
    <w:rsid w:val="00FE4DD7"/>
    <w:rsid w:val="00FE7851"/>
    <w:rsid w:val="00FF34C4"/>
    <w:rsid w:val="00FF3BEE"/>
    <w:rsid w:val="00FF4698"/>
    <w:rsid w:val="050968D3"/>
    <w:rsid w:val="063620C9"/>
    <w:rsid w:val="0A2B0C77"/>
    <w:rsid w:val="0B7625FD"/>
    <w:rsid w:val="14876F4E"/>
    <w:rsid w:val="151B3CF1"/>
    <w:rsid w:val="156C442B"/>
    <w:rsid w:val="164A3328"/>
    <w:rsid w:val="18934843"/>
    <w:rsid w:val="1B541E5E"/>
    <w:rsid w:val="1CE86C7E"/>
    <w:rsid w:val="1E7A4D5D"/>
    <w:rsid w:val="1F281065"/>
    <w:rsid w:val="2A3D587C"/>
    <w:rsid w:val="342C36FD"/>
    <w:rsid w:val="361D455A"/>
    <w:rsid w:val="36F0514B"/>
    <w:rsid w:val="3C9E34DC"/>
    <w:rsid w:val="3FF0557C"/>
    <w:rsid w:val="4244401A"/>
    <w:rsid w:val="4BDC7B86"/>
    <w:rsid w:val="4E023FB5"/>
    <w:rsid w:val="4FED5617"/>
    <w:rsid w:val="505676E2"/>
    <w:rsid w:val="50863A39"/>
    <w:rsid w:val="523A66F5"/>
    <w:rsid w:val="555B6681"/>
    <w:rsid w:val="58CA6D6C"/>
    <w:rsid w:val="590F06B1"/>
    <w:rsid w:val="62705B39"/>
    <w:rsid w:val="6639773D"/>
    <w:rsid w:val="66F0488D"/>
    <w:rsid w:val="6BC74FC2"/>
    <w:rsid w:val="6FB6011E"/>
    <w:rsid w:val="6FE06880"/>
    <w:rsid w:val="700B0865"/>
    <w:rsid w:val="70115646"/>
    <w:rsid w:val="733D427B"/>
    <w:rsid w:val="74CB3468"/>
    <w:rsid w:val="79E14D78"/>
    <w:rsid w:val="7BB67E73"/>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sz w:val="24"/>
      <w:szCs w:val="24"/>
    </w:rPr>
  </w:style>
  <w:style w:type="paragraph" w:customStyle="1" w:styleId="3">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4">
    <w:name w:val="Normal Indent"/>
    <w:basedOn w:val="1"/>
    <w:link w:val="23"/>
    <w:qFormat/>
    <w:uiPriority w:val="0"/>
    <w:pPr>
      <w:ind w:firstLine="420" w:firstLineChars="200"/>
    </w:pPr>
    <w:rPr>
      <w:rFonts w:ascii="Times New Roman" w:hAnsi="Times New Roman" w:eastAsia="宋体" w:cs="Times New Roman"/>
      <w:szCs w:val="24"/>
    </w:rPr>
  </w:style>
  <w:style w:type="paragraph" w:styleId="5">
    <w:name w:val="annotation text"/>
    <w:basedOn w:val="1"/>
    <w:link w:val="28"/>
    <w:semiHidden/>
    <w:unhideWhenUsed/>
    <w:qFormat/>
    <w:uiPriority w:val="99"/>
    <w:pPr>
      <w:jc w:val="left"/>
    </w:pPr>
  </w:style>
  <w:style w:type="paragraph" w:styleId="6">
    <w:name w:val="Body Text"/>
    <w:basedOn w:val="1"/>
    <w:next w:val="7"/>
    <w:link w:val="26"/>
    <w:qFormat/>
    <w:uiPriority w:val="99"/>
    <w:pPr>
      <w:spacing w:after="120"/>
    </w:pPr>
    <w:rPr>
      <w:szCs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line="480" w:lineRule="auto"/>
      <w:ind w:firstLine="600"/>
    </w:pPr>
    <w:rPr>
      <w:sz w:val="28"/>
    </w:r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2"/>
    <w:semiHidden/>
    <w:unhideWhenUsed/>
    <w:qFormat/>
    <w:uiPriority w:val="99"/>
    <w:rPr>
      <w:sz w:val="18"/>
      <w:szCs w:val="18"/>
    </w:rPr>
  </w:style>
  <w:style w:type="paragraph" w:styleId="11">
    <w:name w:val="footer"/>
    <w:basedOn w:val="1"/>
    <w:link w:val="33"/>
    <w:semiHidden/>
    <w:unhideWhenUsed/>
    <w:qFormat/>
    <w:uiPriority w:val="99"/>
    <w:pPr>
      <w:tabs>
        <w:tab w:val="center" w:pos="4153"/>
        <w:tab w:val="right" w:pos="8306"/>
      </w:tabs>
      <w:snapToGrid w:val="0"/>
      <w:jc w:val="left"/>
    </w:pPr>
    <w:rPr>
      <w:sz w:val="18"/>
      <w:szCs w:val="18"/>
    </w:rPr>
  </w:style>
  <w:style w:type="paragraph" w:styleId="12">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29"/>
    <w:semiHidden/>
    <w:unhideWhenUsed/>
    <w:qFormat/>
    <w:uiPriority w:val="99"/>
    <w:rPr>
      <w:b/>
      <w:bCs/>
    </w:rPr>
  </w:style>
  <w:style w:type="paragraph" w:styleId="14">
    <w:name w:val="Body Text First Indent"/>
    <w:basedOn w:val="6"/>
    <w:next w:val="15"/>
    <w:link w:val="30"/>
    <w:unhideWhenUsed/>
    <w:qFormat/>
    <w:uiPriority w:val="99"/>
    <w:pPr>
      <w:ind w:firstLine="420" w:firstLineChars="100"/>
    </w:pPr>
  </w:style>
  <w:style w:type="paragraph" w:styleId="15">
    <w:name w:val="Body Text First Indent 2"/>
    <w:basedOn w:val="8"/>
    <w:qFormat/>
    <w:uiPriority w:val="0"/>
    <w:pPr>
      <w:widowControl/>
      <w:ind w:left="420" w:leftChars="200" w:firstLine="420" w:firstLineChars="200"/>
    </w:pPr>
    <w:rPr>
      <w:rFonts w:ascii="仿宋_GB2312" w:eastAsia="仿宋_GB2312"/>
      <w:color w:val="FF6600"/>
      <w:sz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annotation reference"/>
    <w:basedOn w:val="18"/>
    <w:semiHidden/>
    <w:unhideWhenUsed/>
    <w:qFormat/>
    <w:uiPriority w:val="99"/>
    <w:rPr>
      <w:sz w:val="21"/>
      <w:szCs w:val="21"/>
    </w:rPr>
  </w:style>
  <w:style w:type="paragraph" w:styleId="21">
    <w:name w:val="List Paragraph"/>
    <w:basedOn w:val="1"/>
    <w:link w:val="24"/>
    <w:qFormat/>
    <w:uiPriority w:val="0"/>
    <w:pPr>
      <w:ind w:firstLine="420" w:firstLineChars="200"/>
    </w:pPr>
  </w:style>
  <w:style w:type="character" w:customStyle="1" w:styleId="22">
    <w:name w:val="批注框文本 Char"/>
    <w:basedOn w:val="18"/>
    <w:link w:val="10"/>
    <w:semiHidden/>
    <w:qFormat/>
    <w:uiPriority w:val="99"/>
    <w:rPr>
      <w:sz w:val="18"/>
      <w:szCs w:val="18"/>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列出段落 Char"/>
    <w:link w:val="21"/>
    <w:qFormat/>
    <w:uiPriority w:val="0"/>
  </w:style>
  <w:style w:type="paragraph" w:customStyle="1" w:styleId="25">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6">
    <w:name w:val="正文文本 Char"/>
    <w:link w:val="6"/>
    <w:qFormat/>
    <w:locked/>
    <w:uiPriority w:val="99"/>
    <w:rPr>
      <w:szCs w:val="24"/>
    </w:rPr>
  </w:style>
  <w:style w:type="character" w:customStyle="1" w:styleId="27">
    <w:name w:val="正文文本 Char1"/>
    <w:basedOn w:val="18"/>
    <w:semiHidden/>
    <w:qFormat/>
    <w:uiPriority w:val="99"/>
  </w:style>
  <w:style w:type="character" w:customStyle="1" w:styleId="28">
    <w:name w:val="批注文字 Char"/>
    <w:basedOn w:val="18"/>
    <w:link w:val="5"/>
    <w:semiHidden/>
    <w:qFormat/>
    <w:uiPriority w:val="99"/>
  </w:style>
  <w:style w:type="character" w:customStyle="1" w:styleId="29">
    <w:name w:val="批注主题 Char"/>
    <w:basedOn w:val="28"/>
    <w:link w:val="13"/>
    <w:semiHidden/>
    <w:qFormat/>
    <w:uiPriority w:val="99"/>
    <w:rPr>
      <w:b/>
      <w:bCs/>
    </w:rPr>
  </w:style>
  <w:style w:type="character" w:customStyle="1" w:styleId="30">
    <w:name w:val="正文首行缩进 Char"/>
    <w:link w:val="14"/>
    <w:qFormat/>
    <w:uiPriority w:val="0"/>
    <w:rPr>
      <w:rFonts w:hint="default" w:ascii="Calibri" w:hAnsi="Calibri" w:eastAsia="宋体" w:cs="Times New Roman"/>
      <w:kern w:val="2"/>
      <w:sz w:val="21"/>
      <w:szCs w:val="22"/>
    </w:rPr>
  </w:style>
  <w:style w:type="paragraph" w:customStyle="1" w:styleId="31">
    <w:name w:val="Table Paragraph"/>
    <w:basedOn w:val="1"/>
    <w:qFormat/>
    <w:uiPriority w:val="99"/>
    <w:rPr>
      <w:rFonts w:ascii="宋体" w:hAnsi="宋体" w:cs="宋体"/>
      <w:lang w:val="zh-CN"/>
    </w:rPr>
  </w:style>
  <w:style w:type="character" w:customStyle="1" w:styleId="32">
    <w:name w:val="页眉 Char"/>
    <w:basedOn w:val="18"/>
    <w:link w:val="12"/>
    <w:semiHidden/>
    <w:uiPriority w:val="99"/>
    <w:rPr>
      <w:rFonts w:asciiTheme="minorHAnsi" w:hAnsiTheme="minorHAnsi" w:eastAsiaTheme="minorEastAsia" w:cstheme="minorBidi"/>
      <w:kern w:val="2"/>
      <w:sz w:val="18"/>
      <w:szCs w:val="18"/>
    </w:rPr>
  </w:style>
  <w:style w:type="character" w:customStyle="1" w:styleId="33">
    <w:name w:val="页脚 Char"/>
    <w:basedOn w:val="18"/>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2505</Words>
  <Characters>2788</Characters>
  <Lines>21</Lines>
  <Paragraphs>6</Paragraphs>
  <TotalTime>13</TotalTime>
  <ScaleCrop>false</ScaleCrop>
  <LinksUpToDate>false</LinksUpToDate>
  <CharactersWithSpaces>2812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T</cp:lastModifiedBy>
  <cp:lastPrinted>2021-10-12T08:20:00Z</cp:lastPrinted>
  <dcterms:modified xsi:type="dcterms:W3CDTF">2023-03-20T01:54:19Z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D2CD5679B1544A6680DEB91BF83B5D97</vt:lpwstr>
  </property>
</Properties>
</file>