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资阳市雁江区人民医院</w:t>
      </w:r>
    </w:p>
    <w:p>
      <w:pPr>
        <w:spacing w:line="660" w:lineRule="exact"/>
        <w:jc w:val="center"/>
        <w:rPr>
          <w:rFonts w:asciiTheme="minorEastAsia" w:hAnsiTheme="minorEastAsia"/>
          <w:b/>
          <w:bCs/>
          <w:sz w:val="36"/>
          <w:szCs w:val="36"/>
        </w:rPr>
      </w:pPr>
      <w:r>
        <w:rPr>
          <w:rFonts w:hint="eastAsia" w:asciiTheme="minorEastAsia" w:hAnsiTheme="minorEastAsia"/>
          <w:b/>
          <w:bCs/>
          <w:sz w:val="36"/>
          <w:szCs w:val="36"/>
          <w:lang w:eastAsia="zh-CN"/>
        </w:rPr>
        <w:t>发电机组</w:t>
      </w:r>
      <w:bookmarkStart w:id="1" w:name="_GoBack"/>
      <w:bookmarkEnd w:id="1"/>
      <w:r>
        <w:rPr>
          <w:rFonts w:hint="eastAsia" w:asciiTheme="minorEastAsia" w:hAnsiTheme="minorEastAsia"/>
          <w:b/>
          <w:bCs/>
          <w:sz w:val="36"/>
          <w:szCs w:val="36"/>
          <w:lang w:eastAsia="zh-CN"/>
        </w:rPr>
        <w:t>维保</w:t>
      </w:r>
      <w:r>
        <w:rPr>
          <w:rFonts w:hint="eastAsia" w:asciiTheme="minorEastAsia" w:hAnsiTheme="minorEastAsia"/>
          <w:b/>
          <w:bCs/>
          <w:sz w:val="36"/>
          <w:szCs w:val="36"/>
        </w:rPr>
        <w:t>询价采购需求</w:t>
      </w:r>
    </w:p>
    <w:p>
      <w:pPr>
        <w:spacing w:line="360" w:lineRule="auto"/>
        <w:rPr>
          <w:rFonts w:asciiTheme="minorEastAsia" w:hAnsiTheme="minorEastAsia"/>
          <w:sz w:val="36"/>
          <w:szCs w:val="36"/>
        </w:rPr>
      </w:pPr>
    </w:p>
    <w:p>
      <w:pPr>
        <w:pStyle w:val="15"/>
        <w:numPr>
          <w:ilvl w:val="0"/>
          <w:numId w:val="0"/>
        </w:numPr>
        <w:spacing w:line="360" w:lineRule="auto"/>
        <w:ind w:leftChars="0"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一、项目</w:t>
      </w:r>
      <w:r>
        <w:rPr>
          <w:rFonts w:hint="eastAsia" w:asciiTheme="minorEastAsia" w:hAnsiTheme="minorEastAsia"/>
          <w:b/>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sz w:val="24"/>
          <w:szCs w:val="24"/>
          <w:lang w:val="en-US" w:eastAsia="zh-CN"/>
        </w:rPr>
        <w:t>本项目最高限价</w:t>
      </w:r>
      <w:r>
        <w:rPr>
          <w:rFonts w:hint="eastAsia" w:asciiTheme="minorEastAsia" w:hAnsiTheme="minorEastAsia" w:cstheme="minorEastAsia"/>
          <w:color w:val="auto"/>
          <w:kern w:val="2"/>
          <w:sz w:val="24"/>
          <w:szCs w:val="24"/>
          <w:lang w:val="en-US" w:eastAsia="zh-CN" w:bidi="ar-SA"/>
        </w:rPr>
        <w:t>1.70</w:t>
      </w:r>
      <w:r>
        <w:rPr>
          <w:rFonts w:hint="eastAsia"/>
          <w:sz w:val="24"/>
          <w:szCs w:val="24"/>
          <w:lang w:val="en-US" w:eastAsia="zh-CN"/>
        </w:rPr>
        <w:t>万元。</w:t>
      </w:r>
    </w:p>
    <w:p>
      <w:pPr>
        <w:pStyle w:val="13"/>
        <w:numPr>
          <w:ilvl w:val="0"/>
          <w:numId w:val="0"/>
        </w:numPr>
        <w:spacing w:line="360" w:lineRule="auto"/>
        <w:ind w:firstLine="480" w:firstLineChars="200"/>
        <w:rPr>
          <w:rFonts w:hint="default"/>
          <w:lang w:val="en-US"/>
        </w:rPr>
      </w:pPr>
      <w:r>
        <w:rPr>
          <w:rFonts w:hint="eastAsia" w:asciiTheme="minorEastAsia" w:hAnsi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.采</w:t>
      </w:r>
      <w:r>
        <w:rPr>
          <w:rFonts w:hint="eastAsia"/>
          <w:lang w:val="en-US" w:eastAsia="zh-CN"/>
        </w:rPr>
        <w:t>购内容</w:t>
      </w:r>
    </w:p>
    <w:tbl>
      <w:tblPr>
        <w:tblStyle w:val="25"/>
        <w:tblW w:w="8503" w:type="dxa"/>
        <w:tblInd w:w="0" w:type="dxa"/>
        <w:tblLayout w:type="fixed"/>
        <w:tblCellMar>
          <w:top w:w="45" w:type="dxa"/>
          <w:left w:w="45" w:type="dxa"/>
          <w:bottom w:w="45" w:type="dxa"/>
          <w:right w:w="45" w:type="dxa"/>
        </w:tblCellMar>
      </w:tblPr>
      <w:tblGrid>
        <w:gridCol w:w="1896"/>
        <w:gridCol w:w="2644"/>
        <w:gridCol w:w="593"/>
        <w:gridCol w:w="933"/>
        <w:gridCol w:w="2437"/>
      </w:tblGrid>
      <w:tr>
        <w:tblPrEx>
          <w:tblCellMar>
            <w:top w:w="45" w:type="dxa"/>
            <w:left w:w="45" w:type="dxa"/>
            <w:bottom w:w="45" w:type="dxa"/>
            <w:right w:w="45" w:type="dxa"/>
          </w:tblCellMar>
        </w:tblPrEx>
        <w:trPr>
          <w:trHeight w:val="319" w:hRule="atLeast"/>
        </w:trPr>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Style w:val="27"/>
                <w:rFonts w:hint="default" w:ascii="宋体" w:hAnsi="宋体" w:eastAsia="宋体" w:cs="宋体"/>
                <w:color w:val="000000" w:themeColor="text1"/>
                <w:sz w:val="21"/>
                <w:szCs w:val="21"/>
                <w:lang w:val="en-US" w:eastAsia="zh-CN"/>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机组位置</w:t>
            </w:r>
            <w:r>
              <w:rPr>
                <w:rStyle w:val="27"/>
                <w:rFonts w:hint="eastAsia" w:ascii="宋体" w:hAnsi="宋体" w:eastAsia="宋体" w:cs="宋体"/>
                <w:color w:val="000000" w:themeColor="text1"/>
                <w:sz w:val="21"/>
                <w:szCs w:val="21"/>
                <w:lang w:val="en-US" w:eastAsia="zh-CN"/>
                <w14:textFill>
                  <w14:solidFill>
                    <w14:schemeClr w14:val="tx1"/>
                  </w14:solidFill>
                </w14:textFill>
              </w:rPr>
              <w:t xml:space="preserve">        </w:t>
            </w:r>
          </w:p>
        </w:tc>
        <w:tc>
          <w:tcPr>
            <w:tcW w:w="6607" w:type="dxa"/>
            <w:gridSpan w:val="4"/>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Style w:val="27"/>
                <w:rFonts w:hint="eastAsia" w:ascii="宋体" w:hAnsi="宋体" w:eastAsia="宋体" w:cs="宋体"/>
                <w:color w:val="000000" w:themeColor="text1"/>
                <w:sz w:val="21"/>
                <w:szCs w:val="21"/>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资阳市雁江区</w:t>
            </w:r>
          </w:p>
        </w:tc>
      </w:tr>
      <w:tr>
        <w:tblPrEx>
          <w:tblCellMar>
            <w:top w:w="45" w:type="dxa"/>
            <w:left w:w="45" w:type="dxa"/>
            <w:bottom w:w="45" w:type="dxa"/>
            <w:right w:w="45" w:type="dxa"/>
          </w:tblCellMar>
        </w:tblPrEx>
        <w:tc>
          <w:tcPr>
            <w:tcW w:w="4540" w:type="dxa"/>
            <w:gridSpan w:val="2"/>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left"/>
              <w:rPr>
                <w:rStyle w:val="27"/>
                <w:rFonts w:hint="default" w:ascii="宋体" w:hAnsi="宋体" w:eastAsia="宋体" w:cs="宋体"/>
                <w:color w:val="000000" w:themeColor="text1"/>
                <w:sz w:val="21"/>
                <w:szCs w:val="21"/>
                <w:lang w:val="en-US" w:eastAsia="zh-CN"/>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发动机品牌：</w:t>
            </w:r>
            <w:r>
              <w:rPr>
                <w:rStyle w:val="27"/>
                <w:rFonts w:hint="eastAsia" w:ascii="宋体" w:hAnsi="宋体" w:eastAsia="宋体" w:cs="宋体"/>
                <w:color w:val="000000"/>
                <w:sz w:val="21"/>
                <w:szCs w:val="21"/>
                <w:lang w:eastAsia="zh-CN"/>
              </w:rPr>
              <w:t>科克</w:t>
            </w:r>
          </w:p>
        </w:tc>
        <w:tc>
          <w:tcPr>
            <w:tcW w:w="3963" w:type="dxa"/>
            <w:gridSpan w:val="3"/>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left"/>
              <w:rPr>
                <w:rStyle w:val="27"/>
                <w:rFonts w:hint="eastAsia" w:ascii="宋体" w:hAnsi="宋体" w:eastAsia="宋体" w:cs="宋体"/>
                <w:color w:val="000000" w:themeColor="text1"/>
                <w:sz w:val="21"/>
                <w:szCs w:val="21"/>
                <w14:textFill>
                  <w14:solidFill>
                    <w14:schemeClr w14:val="tx1"/>
                  </w14:solidFill>
                </w14:textFill>
              </w:rPr>
            </w:pPr>
            <w:r>
              <w:rPr>
                <w:rStyle w:val="27"/>
                <w:rFonts w:hint="eastAsia" w:ascii="宋体" w:hAnsi="宋体" w:eastAsia="宋体" w:cs="宋体"/>
                <w:color w:val="000000"/>
                <w:sz w:val="21"/>
                <w:szCs w:val="21"/>
              </w:rPr>
              <w:t>发动机型号：QTA3240G1</w:t>
            </w:r>
          </w:p>
        </w:tc>
      </w:tr>
      <w:tr>
        <w:tblPrEx>
          <w:tblCellMar>
            <w:top w:w="45" w:type="dxa"/>
            <w:left w:w="45" w:type="dxa"/>
            <w:bottom w:w="45" w:type="dxa"/>
            <w:right w:w="45" w:type="dxa"/>
          </w:tblCellMar>
        </w:tblPrEx>
        <w:tc>
          <w:tcPr>
            <w:tcW w:w="4540" w:type="dxa"/>
            <w:gridSpan w:val="2"/>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left"/>
              <w:rPr>
                <w:rFonts w:hint="default" w:ascii="宋体" w:hAnsi="宋体" w:eastAsia="宋体" w:cs="宋体"/>
                <w:color w:val="000000"/>
                <w:kern w:val="2"/>
                <w:sz w:val="21"/>
                <w:szCs w:val="21"/>
                <w:lang w:val="en-US" w:eastAsia="zh-CN" w:bidi="ar-SA"/>
              </w:rPr>
            </w:pPr>
            <w:r>
              <w:rPr>
                <w:rStyle w:val="27"/>
                <w:rFonts w:hint="eastAsia" w:ascii="宋体" w:hAnsi="宋体" w:eastAsia="宋体" w:cs="宋体"/>
                <w:color w:val="000000"/>
                <w:sz w:val="21"/>
                <w:szCs w:val="21"/>
              </w:rPr>
              <w:t>发动机功率（KW)：</w:t>
            </w:r>
            <w:r>
              <w:rPr>
                <w:rStyle w:val="27"/>
                <w:rFonts w:hint="eastAsia" w:ascii="宋体" w:hAnsi="宋体" w:eastAsia="宋体" w:cs="宋体"/>
                <w:color w:val="000000"/>
                <w:sz w:val="21"/>
                <w:szCs w:val="21"/>
                <w:lang w:val="en-US" w:eastAsia="zh-CN"/>
              </w:rPr>
              <w:t>1088</w:t>
            </w:r>
          </w:p>
        </w:tc>
        <w:tc>
          <w:tcPr>
            <w:tcW w:w="3963" w:type="dxa"/>
            <w:gridSpan w:val="3"/>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left"/>
              <w:rPr>
                <w:rFonts w:hint="eastAsia" w:ascii="宋体" w:hAnsi="宋体" w:eastAsia="宋体" w:cs="宋体"/>
                <w:color w:val="000000"/>
                <w:kern w:val="2"/>
                <w:sz w:val="21"/>
                <w:szCs w:val="21"/>
                <w:lang w:val="en-US" w:eastAsia="zh-CN" w:bidi="ar-SA"/>
              </w:rPr>
            </w:pPr>
            <w:r>
              <w:rPr>
                <w:rStyle w:val="27"/>
                <w:rFonts w:hint="eastAsia" w:ascii="宋体" w:hAnsi="宋体" w:eastAsia="宋体" w:cs="宋体"/>
                <w:color w:val="000000"/>
                <w:sz w:val="21"/>
                <w:szCs w:val="21"/>
              </w:rPr>
              <w:t>出厂时间：201</w:t>
            </w:r>
            <w:r>
              <w:rPr>
                <w:rStyle w:val="27"/>
                <w:rFonts w:hint="eastAsia" w:ascii="宋体" w:hAnsi="宋体" w:eastAsia="宋体" w:cs="宋体"/>
                <w:color w:val="000000"/>
                <w:sz w:val="21"/>
                <w:szCs w:val="21"/>
                <w:lang w:val="en-US" w:eastAsia="zh-CN"/>
              </w:rPr>
              <w:t>4</w:t>
            </w:r>
          </w:p>
        </w:tc>
      </w:tr>
      <w:tr>
        <w:tblPrEx>
          <w:tblCellMar>
            <w:top w:w="45" w:type="dxa"/>
            <w:left w:w="45" w:type="dxa"/>
            <w:bottom w:w="45" w:type="dxa"/>
            <w:right w:w="45" w:type="dxa"/>
          </w:tblCellMar>
        </w:tblPrEx>
        <w:trPr>
          <w:trHeight w:val="388" w:hRule="atLeast"/>
        </w:trPr>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b/>
                <w:bCs/>
                <w:color w:val="000000" w:themeColor="text1"/>
                <w:sz w:val="21"/>
                <w:szCs w:val="21"/>
                <w:lang w:eastAsia="zh-CN"/>
                <w14:textFill>
                  <w14:solidFill>
                    <w14:schemeClr w14:val="tx1"/>
                  </w14:solidFill>
                </w14:textFill>
              </w:rPr>
              <w:t>项目</w:t>
            </w:r>
            <w:r>
              <w:rPr>
                <w:rStyle w:val="27"/>
                <w:rFonts w:hint="eastAsia" w:ascii="宋体" w:hAnsi="宋体" w:eastAsia="宋体" w:cs="宋体"/>
                <w:b/>
                <w:bCs/>
                <w:color w:val="000000" w:themeColor="text1"/>
                <w:sz w:val="21"/>
                <w:szCs w:val="21"/>
                <w14:textFill>
                  <w14:solidFill>
                    <w14:schemeClr w14:val="tx1"/>
                  </w14:solidFill>
                </w14:textFill>
              </w:rPr>
              <w:t>名称</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default" w:ascii="宋体" w:hAnsi="宋体" w:eastAsia="宋体" w:cs="宋体"/>
                <w:b/>
                <w:bCs/>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b/>
                <w:bCs/>
                <w:color w:val="000000" w:themeColor="text1"/>
                <w:sz w:val="21"/>
                <w:szCs w:val="21"/>
                <w14:textFill>
                  <w14:solidFill>
                    <w14:schemeClr w14:val="tx1"/>
                  </w14:solidFill>
                </w14:textFill>
              </w:rPr>
              <w:t>型号</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b/>
                <w:bCs/>
                <w:color w:val="000000" w:themeColor="text1"/>
                <w:sz w:val="21"/>
                <w:szCs w:val="21"/>
                <w14:textFill>
                  <w14:solidFill>
                    <w14:schemeClr w14:val="tx1"/>
                  </w14:solidFill>
                </w14:textFill>
              </w:rPr>
              <w:t>单位</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b/>
                <w:bCs/>
                <w:color w:val="000000" w:themeColor="text1"/>
                <w:sz w:val="21"/>
                <w:szCs w:val="21"/>
                <w:lang w:eastAsia="zh-CN"/>
                <w14:textFill>
                  <w14:solidFill>
                    <w14:schemeClr w14:val="tx1"/>
                  </w14:solidFill>
                </w14:textFill>
              </w:rPr>
              <w:t>预计</w:t>
            </w:r>
            <w:r>
              <w:rPr>
                <w:rStyle w:val="27"/>
                <w:rFonts w:hint="eastAsia" w:ascii="宋体" w:hAnsi="宋体" w:eastAsia="宋体" w:cs="宋体"/>
                <w:b/>
                <w:bCs/>
                <w:color w:val="000000" w:themeColor="text1"/>
                <w:sz w:val="21"/>
                <w:szCs w:val="21"/>
                <w14:textFill>
                  <w14:solidFill>
                    <w14:schemeClr w14:val="tx1"/>
                  </w14:solidFill>
                </w14:textFill>
              </w:rPr>
              <w:t>数量</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b/>
                <w:bCs/>
                <w:color w:val="000000" w:themeColor="text1"/>
                <w:sz w:val="21"/>
                <w:szCs w:val="21"/>
                <w:lang w:eastAsia="zh-CN"/>
                <w14:textFill>
                  <w14:solidFill>
                    <w14:schemeClr w14:val="tx1"/>
                  </w14:solidFill>
                </w14:textFill>
              </w:rPr>
              <w:t>备注</w:t>
            </w:r>
          </w:p>
        </w:tc>
      </w:tr>
      <w:tr>
        <w:tblPrEx>
          <w:tblCellMar>
            <w:top w:w="45" w:type="dxa"/>
            <w:left w:w="45" w:type="dxa"/>
            <w:bottom w:w="45" w:type="dxa"/>
            <w:right w:w="45" w:type="dxa"/>
          </w:tblCellMar>
        </w:tblPrEx>
        <w:trPr>
          <w:trHeight w:val="387" w:hRule="atLeast"/>
        </w:trPr>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机油滤清器</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6209209</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个</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4</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both"/>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燃油滤清器</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6205882</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个</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2</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空气滤清器</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6208538 20040</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个</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2</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both"/>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旁通机油滤清器</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6205334</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个</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2</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润滑油</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 xml:space="preserve">18L </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桶</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11</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cs="宋体"/>
                <w:color w:val="000000" w:themeColor="text1"/>
                <w:sz w:val="21"/>
                <w:szCs w:val="21"/>
                <w:lang w:eastAsia="zh-CN"/>
                <w14:textFill>
                  <w14:solidFill>
                    <w14:schemeClr w14:val="tx1"/>
                  </w14:solidFill>
                </w14:textFill>
              </w:rPr>
              <w:t>防冻液</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18L</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桶</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cs="宋体"/>
                <w:color w:val="000000" w:themeColor="text1"/>
                <w:sz w:val="21"/>
                <w:szCs w:val="21"/>
                <w:lang w:val="en-US" w:eastAsia="zh-CN"/>
                <w14:textFill>
                  <w14:solidFill>
                    <w14:schemeClr w14:val="tx1"/>
                  </w14:solidFill>
                </w14:textFill>
              </w:rPr>
              <w:t>13</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积碳净</w:t>
            </w:r>
          </w:p>
        </w:tc>
        <w:tc>
          <w:tcPr>
            <w:tcW w:w="2644"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450ML</w:t>
            </w:r>
          </w:p>
        </w:tc>
        <w:tc>
          <w:tcPr>
            <w:tcW w:w="593" w:type="dxa"/>
            <w:tcBorders>
              <w:top w:val="single" w:color="222222" w:sz="6" w:space="0"/>
              <w:left w:val="single" w:color="222222" w:sz="6" w:space="0"/>
              <w:bottom w:val="single" w:color="222222" w:sz="6"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瓶</w:t>
            </w:r>
          </w:p>
        </w:tc>
        <w:tc>
          <w:tcPr>
            <w:tcW w:w="933"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2</w:t>
            </w:r>
          </w:p>
        </w:tc>
        <w:tc>
          <w:tcPr>
            <w:tcW w:w="2437" w:type="dxa"/>
            <w:tcBorders>
              <w:top w:val="single" w:color="222222" w:sz="6" w:space="0"/>
              <w:left w:val="single" w:color="222222" w:sz="6" w:space="0"/>
              <w:bottom w:val="single" w:color="222222" w:sz="6"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含材料、安装、人工</w:t>
            </w:r>
          </w:p>
        </w:tc>
      </w:tr>
      <w:tr>
        <w:tblPrEx>
          <w:tblCellMar>
            <w:top w:w="45" w:type="dxa"/>
            <w:left w:w="45" w:type="dxa"/>
            <w:bottom w:w="45" w:type="dxa"/>
            <w:right w:w="45" w:type="dxa"/>
          </w:tblCellMar>
        </w:tblPrEx>
        <w:tc>
          <w:tcPr>
            <w:tcW w:w="1896" w:type="dxa"/>
            <w:tcBorders>
              <w:top w:val="single" w:color="222222" w:sz="6" w:space="0"/>
              <w:left w:val="single" w:color="222222" w:sz="6" w:space="0"/>
              <w:bottom w:val="single" w:color="auto" w:sz="4"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水箱速效清洗液</w:t>
            </w:r>
          </w:p>
        </w:tc>
        <w:tc>
          <w:tcPr>
            <w:tcW w:w="2644" w:type="dxa"/>
            <w:tcBorders>
              <w:top w:val="single" w:color="222222" w:sz="6" w:space="0"/>
              <w:left w:val="single" w:color="222222" w:sz="6" w:space="0"/>
              <w:bottom w:val="single" w:color="auto" w:sz="4"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350ML</w:t>
            </w:r>
          </w:p>
        </w:tc>
        <w:tc>
          <w:tcPr>
            <w:tcW w:w="593" w:type="dxa"/>
            <w:tcBorders>
              <w:top w:val="single" w:color="222222" w:sz="6" w:space="0"/>
              <w:left w:val="single" w:color="222222" w:sz="6" w:space="0"/>
              <w:bottom w:val="single" w:color="auto" w:sz="4" w:space="0"/>
              <w:right w:val="single" w:color="222222" w:sz="6"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瓶</w:t>
            </w:r>
          </w:p>
        </w:tc>
        <w:tc>
          <w:tcPr>
            <w:tcW w:w="933" w:type="dxa"/>
            <w:tcBorders>
              <w:top w:val="single" w:color="222222" w:sz="6" w:space="0"/>
              <w:left w:val="single" w:color="222222" w:sz="6" w:space="0"/>
              <w:bottom w:val="single" w:color="auto" w:sz="4"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2</w:t>
            </w:r>
          </w:p>
        </w:tc>
        <w:tc>
          <w:tcPr>
            <w:tcW w:w="2437" w:type="dxa"/>
            <w:tcBorders>
              <w:top w:val="single" w:color="222222" w:sz="6" w:space="0"/>
              <w:left w:val="single" w:color="222222" w:sz="6" w:space="0"/>
              <w:bottom w:val="single" w:color="auto" w:sz="4" w:space="0"/>
              <w:right w:val="single" w:color="222222" w:sz="6" w:space="0"/>
            </w:tcBorders>
            <w:noWrap/>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含材料、安装、人工</w:t>
            </w:r>
          </w:p>
        </w:tc>
      </w:tr>
      <w:tr>
        <w:tblPrEx>
          <w:tblCellMar>
            <w:top w:w="45" w:type="dxa"/>
            <w:left w:w="45" w:type="dxa"/>
            <w:bottom w:w="45" w:type="dxa"/>
            <w:right w:w="45" w:type="dxa"/>
          </w:tblCellMar>
        </w:tblPrEx>
        <w:trPr>
          <w:trHeight w:val="408" w:hRule="atLeast"/>
        </w:trPr>
        <w:tc>
          <w:tcPr>
            <w:tcW w:w="1896"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机油管道清洗</w:t>
            </w:r>
          </w:p>
        </w:tc>
        <w:tc>
          <w:tcPr>
            <w:tcW w:w="2644"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59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次</w:t>
            </w:r>
          </w:p>
        </w:tc>
        <w:tc>
          <w:tcPr>
            <w:tcW w:w="93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1</w:t>
            </w:r>
          </w:p>
        </w:tc>
        <w:tc>
          <w:tcPr>
            <w:tcW w:w="2437"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rPr>
          <w:trHeight w:val="408" w:hRule="atLeast"/>
        </w:trPr>
        <w:tc>
          <w:tcPr>
            <w:tcW w:w="1896"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水箱清洗</w:t>
            </w:r>
          </w:p>
        </w:tc>
        <w:tc>
          <w:tcPr>
            <w:tcW w:w="2644"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59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次</w:t>
            </w:r>
          </w:p>
        </w:tc>
        <w:tc>
          <w:tcPr>
            <w:tcW w:w="93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1</w:t>
            </w:r>
          </w:p>
        </w:tc>
        <w:tc>
          <w:tcPr>
            <w:tcW w:w="2437"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rPr>
          <w:trHeight w:val="408" w:hRule="atLeast"/>
        </w:trPr>
        <w:tc>
          <w:tcPr>
            <w:tcW w:w="1896"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Style w:val="28"/>
                <w:rFonts w:hint="eastAsia" w:ascii="宋体" w:hAnsi="宋体" w:eastAsia="宋体" w:cs="宋体"/>
                <w:color w:val="000000" w:themeColor="text1"/>
                <w:sz w:val="21"/>
                <w:szCs w:val="21"/>
                <w:lang w:eastAsia="zh-CN"/>
                <w14:textFill>
                  <w14:solidFill>
                    <w14:schemeClr w14:val="tx1"/>
                  </w14:solidFill>
                </w14:textFill>
              </w:rPr>
            </w:pPr>
            <w:r>
              <w:rPr>
                <w:rStyle w:val="28"/>
                <w:rFonts w:hint="eastAsia" w:ascii="宋体" w:hAnsi="宋体" w:eastAsia="宋体" w:cs="宋体"/>
                <w:color w:val="000000" w:themeColor="text1"/>
                <w:sz w:val="21"/>
                <w:szCs w:val="21"/>
                <w:lang w:eastAsia="zh-CN"/>
                <w14:textFill>
                  <w14:solidFill>
                    <w14:schemeClr w14:val="tx1"/>
                  </w14:solidFill>
                </w14:textFill>
              </w:rPr>
              <w:t>散热风机皮带</w:t>
            </w:r>
          </w:p>
        </w:tc>
        <w:tc>
          <w:tcPr>
            <w:tcW w:w="2644"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C-72</w:t>
            </w:r>
          </w:p>
        </w:tc>
        <w:tc>
          <w:tcPr>
            <w:tcW w:w="59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Style w:val="27"/>
                <w:rFonts w:hint="eastAsia" w:ascii="宋体" w:hAnsi="宋体" w:eastAsia="宋体" w:cs="宋体"/>
                <w:color w:val="000000" w:themeColor="text1"/>
                <w:sz w:val="21"/>
                <w:szCs w:val="21"/>
                <w:lang w:eastAsia="zh-CN"/>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根</w:t>
            </w:r>
          </w:p>
        </w:tc>
        <w:tc>
          <w:tcPr>
            <w:tcW w:w="93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Style w:val="27"/>
                <w:rFonts w:hint="eastAsia" w:ascii="宋体" w:hAnsi="宋体" w:eastAsia="宋体" w:cs="宋体"/>
                <w:color w:val="000000" w:themeColor="text1"/>
                <w:sz w:val="21"/>
                <w:szCs w:val="21"/>
                <w:lang w:val="en-US" w:eastAsia="zh-CN"/>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6</w:t>
            </w:r>
          </w:p>
        </w:tc>
        <w:tc>
          <w:tcPr>
            <w:tcW w:w="2437"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rPr>
          <w:trHeight w:val="408" w:hRule="atLeast"/>
        </w:trPr>
        <w:tc>
          <w:tcPr>
            <w:tcW w:w="1896"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Style w:val="28"/>
                <w:rFonts w:hint="eastAsia" w:ascii="宋体" w:hAnsi="宋体" w:eastAsia="宋体" w:cs="宋体"/>
                <w:color w:val="000000" w:themeColor="text1"/>
                <w:sz w:val="21"/>
                <w:szCs w:val="21"/>
                <w:lang w:val="en-US" w:eastAsia="zh-CN"/>
                <w14:textFill>
                  <w14:solidFill>
                    <w14:schemeClr w14:val="tx1"/>
                  </w14:solidFill>
                </w14:textFill>
              </w:rPr>
            </w:pPr>
            <w:r>
              <w:rPr>
                <w:rStyle w:val="28"/>
                <w:rFonts w:hint="eastAsia" w:ascii="宋体" w:hAnsi="宋体" w:eastAsia="宋体" w:cs="宋体"/>
                <w:color w:val="000000" w:themeColor="text1"/>
                <w:sz w:val="21"/>
                <w:szCs w:val="21"/>
                <w:lang w:val="en-US" w:eastAsia="zh-CN"/>
                <w14:textFill>
                  <w14:solidFill>
                    <w14:schemeClr w14:val="tx1"/>
                  </w14:solidFill>
                </w14:textFill>
              </w:rPr>
              <w:t>电瓶充电皮带</w:t>
            </w:r>
          </w:p>
        </w:tc>
        <w:tc>
          <w:tcPr>
            <w:tcW w:w="2644"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6200332</w:t>
            </w:r>
          </w:p>
        </w:tc>
        <w:tc>
          <w:tcPr>
            <w:tcW w:w="59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Style w:val="27"/>
                <w:rFonts w:hint="eastAsia" w:ascii="宋体" w:hAnsi="宋体" w:eastAsia="宋体" w:cs="宋体"/>
                <w:color w:val="000000" w:themeColor="text1"/>
                <w:sz w:val="21"/>
                <w:szCs w:val="21"/>
                <w:lang w:eastAsia="zh-CN"/>
                <w14:textFill>
                  <w14:solidFill>
                    <w14:schemeClr w14:val="tx1"/>
                  </w14:solidFill>
                </w14:textFill>
              </w:rPr>
            </w:pPr>
            <w:r>
              <w:rPr>
                <w:rStyle w:val="27"/>
                <w:rFonts w:hint="eastAsia" w:ascii="宋体" w:hAnsi="宋体" w:eastAsia="宋体" w:cs="宋体"/>
                <w:color w:val="000000" w:themeColor="text1"/>
                <w:sz w:val="21"/>
                <w:szCs w:val="21"/>
                <w:lang w:eastAsia="zh-CN"/>
                <w14:textFill>
                  <w14:solidFill>
                    <w14:schemeClr w14:val="tx1"/>
                  </w14:solidFill>
                </w14:textFill>
              </w:rPr>
              <w:t>根</w:t>
            </w:r>
          </w:p>
        </w:tc>
        <w:tc>
          <w:tcPr>
            <w:tcW w:w="93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Style w:val="27"/>
                <w:rFonts w:hint="default" w:ascii="宋体" w:hAnsi="宋体" w:eastAsia="宋体" w:cs="宋体"/>
                <w:color w:val="000000" w:themeColor="text1"/>
                <w:sz w:val="21"/>
                <w:szCs w:val="21"/>
                <w:lang w:val="en-US" w:eastAsia="zh-CN"/>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1</w:t>
            </w:r>
          </w:p>
        </w:tc>
        <w:tc>
          <w:tcPr>
            <w:tcW w:w="2437"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含材料、拆旧、安装、人工</w:t>
            </w:r>
          </w:p>
        </w:tc>
      </w:tr>
      <w:tr>
        <w:tblPrEx>
          <w:tblCellMar>
            <w:top w:w="45" w:type="dxa"/>
            <w:left w:w="45" w:type="dxa"/>
            <w:bottom w:w="45" w:type="dxa"/>
            <w:right w:w="45" w:type="dxa"/>
          </w:tblCellMar>
        </w:tblPrEx>
        <w:trPr>
          <w:trHeight w:val="408" w:hRule="atLeast"/>
        </w:trPr>
        <w:tc>
          <w:tcPr>
            <w:tcW w:w="1896"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14:textFill>
                  <w14:solidFill>
                    <w14:schemeClr w14:val="tx1"/>
                  </w14:solidFill>
                </w14:textFill>
              </w:rPr>
              <w:t>基础检测费</w:t>
            </w:r>
          </w:p>
        </w:tc>
        <w:tc>
          <w:tcPr>
            <w:tcW w:w="2644"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59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次</w:t>
            </w:r>
          </w:p>
        </w:tc>
        <w:tc>
          <w:tcPr>
            <w:tcW w:w="93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1</w:t>
            </w:r>
          </w:p>
        </w:tc>
        <w:tc>
          <w:tcPr>
            <w:tcW w:w="2437"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CellMar>
            <w:top w:w="45" w:type="dxa"/>
            <w:left w:w="45" w:type="dxa"/>
            <w:bottom w:w="45" w:type="dxa"/>
            <w:right w:w="45" w:type="dxa"/>
          </w:tblCellMar>
        </w:tblPrEx>
        <w:trPr>
          <w:trHeight w:val="408" w:hRule="atLeast"/>
        </w:trPr>
        <w:tc>
          <w:tcPr>
            <w:tcW w:w="1896"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8"/>
                <w:rFonts w:hint="eastAsia" w:ascii="宋体" w:hAnsi="宋体" w:eastAsia="宋体" w:cs="宋体"/>
                <w:color w:val="000000" w:themeColor="text1"/>
                <w:sz w:val="21"/>
                <w:szCs w:val="21"/>
                <w:lang w:eastAsia="zh-CN"/>
                <w14:textFill>
                  <w14:solidFill>
                    <w14:schemeClr w14:val="tx1"/>
                  </w14:solidFill>
                </w14:textFill>
              </w:rPr>
              <w:t>整机维保人工费</w:t>
            </w:r>
          </w:p>
        </w:tc>
        <w:tc>
          <w:tcPr>
            <w:tcW w:w="2644"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59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14:textFill>
                  <w14:solidFill>
                    <w14:schemeClr w14:val="tx1"/>
                  </w14:solidFill>
                </w14:textFill>
              </w:rPr>
              <w:t>次</w:t>
            </w:r>
          </w:p>
        </w:tc>
        <w:tc>
          <w:tcPr>
            <w:tcW w:w="933"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Style w:val="27"/>
                <w:rFonts w:hint="eastAsia" w:ascii="宋体" w:hAnsi="宋体" w:eastAsia="宋体" w:cs="宋体"/>
                <w:color w:val="000000" w:themeColor="text1"/>
                <w:sz w:val="21"/>
                <w:szCs w:val="21"/>
                <w:lang w:val="en-US" w:eastAsia="zh-CN"/>
                <w14:textFill>
                  <w14:solidFill>
                    <w14:schemeClr w14:val="tx1"/>
                  </w14:solidFill>
                </w14:textFill>
              </w:rPr>
              <w:t>1</w:t>
            </w:r>
          </w:p>
        </w:tc>
        <w:tc>
          <w:tcPr>
            <w:tcW w:w="2437" w:type="dxa"/>
            <w:tcBorders>
              <w:top w:val="single" w:color="auto" w:sz="4" w:space="0"/>
              <w:left w:val="single" w:color="auto" w:sz="4" w:space="0"/>
              <w:bottom w:val="single" w:color="auto" w:sz="4" w:space="0"/>
              <w:right w:val="single" w:color="auto" w:sz="4" w:space="0"/>
            </w:tcBorders>
            <w:noWrap w:val="0"/>
            <w:tcMar>
              <w:top w:w="38" w:type="dxa"/>
              <w:left w:w="38" w:type="dxa"/>
              <w:bottom w:w="38" w:type="dxa"/>
              <w:right w:w="38" w:type="dxa"/>
            </w:tcMar>
            <w:vAlign w:val="center"/>
          </w:tcPr>
          <w:p>
            <w:pPr>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CellMar>
            <w:top w:w="45" w:type="dxa"/>
            <w:left w:w="45" w:type="dxa"/>
            <w:bottom w:w="45" w:type="dxa"/>
            <w:right w:w="45" w:type="dxa"/>
          </w:tblCellMar>
        </w:tblPrEx>
        <w:trPr>
          <w:trHeight w:val="40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半年巡检</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人工、巡检设备、材料自带</w:t>
            </w:r>
          </w:p>
        </w:tc>
      </w:tr>
    </w:tbl>
    <w:p>
      <w:pPr>
        <w:pStyle w:val="14"/>
        <w:jc w:val="both"/>
        <w:rPr>
          <w:rFonts w:hint="default"/>
          <w:lang w:val="en-US"/>
        </w:rPr>
      </w:pPr>
    </w:p>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pPr>
        <w:keepNext w:val="0"/>
        <w:keepLines w:val="0"/>
        <w:pageBreakBefore w:val="0"/>
        <w:widowControl w:val="0"/>
        <w:kinsoku/>
        <w:wordWrap/>
        <w:overflowPunct/>
        <w:topLinePunct w:val="0"/>
        <w:autoSpaceDE/>
        <w:autoSpaceDN/>
        <w:bidi w:val="0"/>
        <w:spacing w:line="460" w:lineRule="exact"/>
        <w:ind w:firstLine="480" w:firstLineChars="200"/>
        <w:rPr>
          <w:color w:val="000000"/>
          <w:sz w:val="24"/>
        </w:rPr>
      </w:pPr>
      <w:r>
        <w:rPr>
          <w:rFonts w:hint="eastAsia"/>
          <w:color w:val="000000"/>
          <w:sz w:val="24"/>
        </w:rPr>
        <w:t>1、项目工期：工程工期</w:t>
      </w:r>
      <w:r>
        <w:rPr>
          <w:rFonts w:hint="eastAsia"/>
          <w:color w:val="000000"/>
          <w:sz w:val="24"/>
          <w:lang w:eastAsia="zh-CN"/>
        </w:rPr>
        <w:t>不超过</w:t>
      </w:r>
      <w:r>
        <w:rPr>
          <w:rFonts w:hint="eastAsia"/>
          <w:color w:val="000000"/>
          <w:sz w:val="24"/>
          <w:lang w:val="en-US" w:eastAsia="zh-CN"/>
        </w:rPr>
        <w:t>2</w:t>
      </w:r>
      <w:r>
        <w:rPr>
          <w:rFonts w:hint="eastAsia"/>
          <w:color w:val="000000"/>
          <w:sz w:val="24"/>
        </w:rPr>
        <w:t>日历天（具体</w:t>
      </w:r>
      <w:r>
        <w:rPr>
          <w:rFonts w:hint="eastAsia"/>
          <w:color w:val="000000"/>
          <w:sz w:val="24"/>
          <w:lang w:eastAsia="zh-CN"/>
        </w:rPr>
        <w:t>施工</w:t>
      </w:r>
      <w:r>
        <w:rPr>
          <w:rFonts w:hint="eastAsia"/>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rPr>
          <w:color w:val="000000"/>
          <w:sz w:val="24"/>
        </w:rPr>
      </w:pPr>
      <w:r>
        <w:rPr>
          <w:rFonts w:hint="eastAsia"/>
          <w:color w:val="000000"/>
          <w:sz w:val="24"/>
        </w:rPr>
        <w:t>2、质量要求：按照国家相关标准执行</w:t>
      </w:r>
      <w:r>
        <w:rPr>
          <w:rFonts w:hint="eastAsia"/>
          <w:color w:val="000000"/>
          <w:sz w:val="24"/>
          <w:lang w:eastAsia="zh-CN"/>
        </w:rPr>
        <w:t>，</w:t>
      </w:r>
      <w:r>
        <w:rPr>
          <w:rFonts w:hint="eastAsia" w:asciiTheme="minorEastAsia" w:hAnsiTheme="minorEastAsia" w:eastAsiaTheme="minorEastAsia" w:cstheme="minorEastAsia"/>
          <w:color w:val="auto"/>
          <w:sz w:val="24"/>
          <w:szCs w:val="24"/>
          <w:lang w:val="en-US" w:eastAsia="zh-CN"/>
        </w:rPr>
        <w:t>质保期：</w:t>
      </w:r>
      <w:r>
        <w:rPr>
          <w:rFonts w:hint="eastAsia" w:asciiTheme="minorEastAsia" w:hAnsiTheme="minorEastAsia" w:cstheme="minorEastAsia"/>
          <w:color w:val="auto"/>
          <w:sz w:val="24"/>
          <w:szCs w:val="24"/>
          <w:lang w:val="en-US" w:eastAsia="zh-CN"/>
        </w:rPr>
        <w:t>半</w:t>
      </w:r>
      <w:r>
        <w:rPr>
          <w:rFonts w:hint="eastAsia" w:asciiTheme="minorEastAsia" w:hAnsiTheme="minorEastAsia" w:eastAsiaTheme="minorEastAsia" w:cstheme="minorEastAsia"/>
          <w:color w:val="auto"/>
          <w:sz w:val="24"/>
          <w:szCs w:val="24"/>
          <w:lang w:val="en-US" w:eastAsia="zh-CN"/>
        </w:rPr>
        <w:t>年</w:t>
      </w:r>
      <w:r>
        <w:rPr>
          <w:rFonts w:hint="eastAsia" w:asciiTheme="minorEastAsia" w:hAnsiTheme="minorEastAsia" w:cstheme="minorEastAsia"/>
          <w:color w:val="auto"/>
          <w:sz w:val="24"/>
          <w:szCs w:val="24"/>
          <w:lang w:val="en-US" w:eastAsia="zh-CN"/>
        </w:rPr>
        <w:t>，质保期间如因更换材料出现质量问题，中标单位应及时处理，未进行处理或处理不当的不予支付质量保证金，导致损坏或安全事故的由中标单位赔偿</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spacing w:line="460" w:lineRule="exact"/>
        <w:ind w:firstLine="480" w:firstLineChars="200"/>
        <w:rPr>
          <w:rFonts w:hint="eastAsia"/>
          <w:color w:val="000000"/>
          <w:sz w:val="24"/>
        </w:rPr>
      </w:pPr>
      <w:r>
        <w:rPr>
          <w:rFonts w:hint="eastAsia"/>
          <w:color w:val="000000"/>
          <w:sz w:val="24"/>
        </w:rPr>
        <w:t>3、安全文明施工要求：中标单位应制定可靠的施工方案，采取有效安全防护措施，确保无安全事故发生，在本项目实施期间，</w:t>
      </w:r>
      <w:r>
        <w:rPr>
          <w:rFonts w:hint="eastAsia"/>
          <w:color w:val="000000"/>
          <w:sz w:val="24"/>
          <w:lang w:eastAsia="zh-CN"/>
        </w:rPr>
        <w:t>中标单位应加强施工人员的管理，注意自身及他人的安全，若在项目实施过程中</w:t>
      </w:r>
      <w:r>
        <w:rPr>
          <w:rFonts w:hint="eastAsia"/>
          <w:color w:val="000000"/>
          <w:sz w:val="24"/>
        </w:rPr>
        <w:t>发生的安全事故或给采购人及第三方造成的损害均由中标人承担。</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color w:val="000000"/>
          <w:sz w:val="24"/>
          <w:lang w:val="en-US" w:eastAsia="zh-CN"/>
        </w:rPr>
      </w:pPr>
      <w:r>
        <w:rPr>
          <w:rFonts w:hint="eastAsia"/>
          <w:color w:val="000000"/>
          <w:sz w:val="24"/>
          <w:lang w:val="en-US" w:eastAsia="zh-CN"/>
        </w:rPr>
        <w:t>4.维保过程中若发现潜在问题，需维修的，中标单位应以书面形式通知采购方，通知内容为维修原因、维修材料、材料价格（不得高于市场价）等，征得采购人同意后方可维修。若潜在问题维修金额较大，采购人需重新走相关流程的情况下，中标单位应先作简单处理，确保发电机运行。</w:t>
      </w:r>
    </w:p>
    <w:p>
      <w:pPr>
        <w:pStyle w:val="2"/>
        <w:keepNext w:val="0"/>
        <w:keepLines w:val="0"/>
        <w:pageBreakBefore w:val="0"/>
        <w:widowControl w:val="0"/>
        <w:kinsoku/>
        <w:wordWrap/>
        <w:overflowPunct/>
        <w:topLinePunct w:val="0"/>
        <w:autoSpaceDE/>
        <w:autoSpaceDN/>
        <w:bidi w:val="0"/>
        <w:spacing w:line="460" w:lineRule="exact"/>
        <w:rPr>
          <w:rFonts w:hint="default" w:eastAsiaTheme="minorEastAsia"/>
          <w:lang w:val="en-US" w:eastAsia="zh-CN"/>
        </w:rPr>
      </w:pPr>
      <w:r>
        <w:rPr>
          <w:rFonts w:hint="eastAsia"/>
          <w:color w:val="000000"/>
          <w:sz w:val="24"/>
          <w:lang w:val="en-US" w:eastAsia="zh-CN"/>
        </w:rPr>
        <w:t xml:space="preserve">    5.废品处置：维保过程所更换的设施设备、零配件、机油等废品均由中标单位进行回收，并按相关要求进行处置，若因处置不当，造成任何问题，均由中标单位处置、赔偿。</w:t>
      </w:r>
    </w:p>
    <w:p>
      <w:pPr>
        <w:pStyle w:val="3"/>
        <w:keepNext w:val="0"/>
        <w:keepLines w:val="0"/>
        <w:pageBreakBefore w:val="0"/>
        <w:widowControl w:val="0"/>
        <w:kinsoku/>
        <w:wordWrap/>
        <w:overflowPunct/>
        <w:topLinePunct w:val="0"/>
        <w:autoSpaceDE/>
        <w:autoSpaceDN/>
        <w:bidi w:val="0"/>
        <w:spacing w:line="460" w:lineRule="exact"/>
        <w:ind w:firstLine="480" w:firstLineChars="200"/>
        <w:rPr>
          <w:rFonts w:hint="eastAsia" w:asciiTheme="minorHAnsi" w:hAnsiTheme="minorHAnsi" w:eastAsiaTheme="minorEastAsia" w:cstheme="minorBidi"/>
          <w:b w:val="0"/>
          <w:bCs w:val="0"/>
          <w:color w:val="000000"/>
          <w:sz w:val="24"/>
          <w:szCs w:val="24"/>
        </w:rPr>
      </w:pPr>
      <w:r>
        <w:rPr>
          <w:rFonts w:hint="eastAsia" w:asciiTheme="minorHAnsi" w:hAnsiTheme="minorHAnsi" w:eastAsiaTheme="minorEastAsia" w:cstheme="minorBidi"/>
          <w:b w:val="0"/>
          <w:bCs w:val="0"/>
          <w:color w:val="000000"/>
          <w:sz w:val="24"/>
          <w:szCs w:val="24"/>
          <w:lang w:val="en-US" w:eastAsia="zh-CN"/>
        </w:rPr>
        <w:t>6</w:t>
      </w:r>
      <w:r>
        <w:rPr>
          <w:rFonts w:hint="eastAsia" w:asciiTheme="minorHAnsi" w:hAnsiTheme="minorHAnsi" w:eastAsiaTheme="minorEastAsia" w:cstheme="minorBidi"/>
          <w:b w:val="0"/>
          <w:bCs w:val="0"/>
          <w:color w:val="000000"/>
          <w:sz w:val="24"/>
          <w:szCs w:val="24"/>
        </w:rPr>
        <w:t>、卫生要求：每日工程量完工后，负责清理打扫现场卫生，保持院内及走廊楼梯干净整洁。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eastAsiaTheme="minorEastAsia"/>
          <w:lang w:val="en-US" w:eastAsia="zh-CN"/>
        </w:rPr>
      </w:pPr>
      <w:r>
        <w:rPr>
          <w:rFonts w:hint="eastAsia" w:cstheme="minorBidi"/>
          <w:b w:val="0"/>
          <w:bCs w:val="0"/>
          <w:color w:val="000000"/>
          <w:sz w:val="24"/>
          <w:szCs w:val="24"/>
          <w:lang w:val="en-US" w:eastAsia="zh-CN"/>
        </w:rPr>
        <w:t>7.</w:t>
      </w:r>
      <w:r>
        <w:rPr>
          <w:rFonts w:hint="eastAsia" w:cs="宋体-18030" w:asciiTheme="minorEastAsia" w:hAnsiTheme="minorEastAsia"/>
          <w:kern w:val="0"/>
          <w:sz w:val="24"/>
          <w:lang w:val="en-US" w:eastAsia="zh-CN"/>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color w:val="auto"/>
          <w:sz w:val="24"/>
          <w:lang w:val="en-US" w:eastAsia="zh-CN"/>
        </w:rPr>
        <w:t>8</w:t>
      </w:r>
      <w:r>
        <w:rPr>
          <w:rFonts w:hint="eastAsia"/>
          <w:color w:val="auto"/>
          <w:sz w:val="24"/>
        </w:rPr>
        <w:t>、付款方式：</w:t>
      </w:r>
      <w:r>
        <w:rPr>
          <w:rFonts w:hint="eastAsia"/>
          <w:color w:val="auto"/>
          <w:sz w:val="24"/>
          <w:lang w:eastAsia="zh-CN"/>
        </w:rPr>
        <w:t>据实结算，</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验收合格后，在采购人收到供应商完整有效发票且采购人完善财务报销手续后1个月内无息</w:t>
      </w:r>
      <w:r>
        <w:rPr>
          <w:rFonts w:hint="eastAsia" w:asciiTheme="minorEastAsia" w:hAnsiTheme="minorEastAsia" w:cstheme="minorEastAsia"/>
          <w:color w:val="auto"/>
          <w:sz w:val="24"/>
          <w:szCs w:val="24"/>
          <w:lang w:val="en-US" w:eastAsia="zh-CN"/>
        </w:rPr>
        <w:t>转账支付本项目总金额的97%，余3%作质量保证金，质保期满无质量问题一次性无息转账支付</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spacing w:line="460" w:lineRule="exact"/>
        <w:ind w:firstLine="480" w:firstLineChars="200"/>
        <w:rPr>
          <w:rFonts w:hint="eastAsia"/>
          <w:color w:val="auto"/>
          <w:sz w:val="24"/>
        </w:rPr>
      </w:pPr>
      <w:r>
        <w:rPr>
          <w:rFonts w:hint="eastAsia"/>
          <w:color w:val="auto"/>
          <w:sz w:val="24"/>
          <w:lang w:val="en-US" w:eastAsia="zh-CN"/>
        </w:rPr>
        <w:t>9</w:t>
      </w:r>
      <w:r>
        <w:rPr>
          <w:rFonts w:hint="eastAsia"/>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2"/>
        <w:keepNext w:val="0"/>
        <w:keepLines w:val="0"/>
        <w:pageBreakBefore w:val="0"/>
        <w:widowControl w:val="0"/>
        <w:kinsoku/>
        <w:wordWrap/>
        <w:overflowPunct/>
        <w:topLinePunct w:val="0"/>
        <w:autoSpaceDE/>
        <w:autoSpaceDN/>
        <w:bidi w:val="0"/>
        <w:spacing w:line="460" w:lineRule="exact"/>
        <w:rPr>
          <w:rFonts w:hint="default" w:eastAsiaTheme="minorEastAsia"/>
          <w:lang w:val="en-US" w:eastAsia="zh-CN"/>
        </w:rPr>
      </w:pPr>
      <w:r>
        <w:rPr>
          <w:rFonts w:hint="eastAsia"/>
          <w:color w:val="auto"/>
          <w:sz w:val="24"/>
          <w:lang w:val="en-US" w:eastAsia="zh-CN"/>
        </w:rPr>
        <w:t xml:space="preserve">    10.维保完成后中标单位应试机，确保发电机正常运行，若因维保造成发电机损坏或其他故障，中标单位应及时维修，若不能修复，中标单位应进行赔偿，若造成其他损失的，也由中标单位按实际损失情况进行赔偿。</w:t>
      </w:r>
    </w:p>
    <w:p>
      <w:pPr>
        <w:pStyle w:val="3"/>
        <w:keepNext w:val="0"/>
        <w:keepLines w:val="0"/>
        <w:pageBreakBefore w:val="0"/>
        <w:widowControl w:val="0"/>
        <w:kinsoku/>
        <w:wordWrap/>
        <w:overflowPunct/>
        <w:topLinePunct w:val="0"/>
        <w:autoSpaceDE/>
        <w:autoSpaceDN/>
        <w:bidi w:val="0"/>
        <w:spacing w:line="460" w:lineRule="exact"/>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w:t>
      </w:r>
      <w:r>
        <w:rPr>
          <w:rFonts w:hint="eastAsia" w:ascii="Calibri" w:hAnsi="Calibri" w:eastAsia="宋体"/>
          <w:b w:val="0"/>
          <w:bCs w:val="0"/>
          <w:color w:val="auto"/>
          <w:sz w:val="24"/>
          <w:szCs w:val="22"/>
          <w:lang w:val="en-US" w:eastAsia="zh-CN"/>
        </w:rPr>
        <w:t>11</w:t>
      </w:r>
      <w:r>
        <w:rPr>
          <w:rFonts w:hint="eastAsia" w:ascii="Calibri" w:hAnsi="Calibri" w:eastAsia="宋体"/>
          <w:b w:val="0"/>
          <w:bCs w:val="0"/>
          <w:color w:val="auto"/>
          <w:sz w:val="24"/>
          <w:szCs w:val="22"/>
        </w:rPr>
        <w:t>.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pStyle w:val="2"/>
        <w:rPr>
          <w:rFonts w:hint="eastAsia" w:eastAsiaTheme="minorEastAsia"/>
          <w:lang w:val="en-US" w:eastAsia="zh-CN"/>
        </w:rPr>
      </w:pPr>
      <w:r>
        <w:rPr>
          <w:rFonts w:hint="eastAsia" w:cs="宋体-18030" w:asciiTheme="minorEastAsia" w:hAnsiTheme="minorEastAsia"/>
          <w:kern w:val="0"/>
          <w:sz w:val="24"/>
          <w:lang w:val="en-US" w:eastAsia="zh-CN"/>
        </w:rPr>
        <w:t xml:space="preserve">     (5)具有柴油发电机组维修、保养资质。</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02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22</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12"/>
        <w:gridCol w:w="1155"/>
        <w:gridCol w:w="945"/>
        <w:gridCol w:w="840"/>
        <w:gridCol w:w="975"/>
        <w:gridCol w:w="10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34" w:type="dxa"/>
            <w:vAlign w:val="center"/>
          </w:tcPr>
          <w:p>
            <w:pPr>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212" w:type="dxa"/>
            <w:vAlign w:val="center"/>
          </w:tcPr>
          <w:p>
            <w:pPr>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项目名称</w:t>
            </w:r>
          </w:p>
        </w:tc>
        <w:tc>
          <w:tcPr>
            <w:tcW w:w="1155" w:type="dxa"/>
            <w:vAlign w:val="center"/>
          </w:tcPr>
          <w:p>
            <w:pPr>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w:t>
            </w:r>
          </w:p>
        </w:tc>
        <w:tc>
          <w:tcPr>
            <w:tcW w:w="945" w:type="dxa"/>
            <w:vAlign w:val="center"/>
          </w:tcPr>
          <w:p>
            <w:pPr>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型号</w:t>
            </w:r>
          </w:p>
        </w:tc>
        <w:tc>
          <w:tcPr>
            <w:tcW w:w="840" w:type="dxa"/>
            <w:vAlign w:val="center"/>
          </w:tcPr>
          <w:p>
            <w:pPr>
              <w:jc w:val="center"/>
              <w:rPr>
                <w:rFonts w:hint="eastAsia" w:eastAsia="宋体" w:cs="宋体-18030" w:asciiTheme="minorEastAsia" w:hAnsiTheme="minorEastAsia"/>
                <w:kern w:val="0"/>
                <w:sz w:val="24"/>
                <w:lang w:val="en-US" w:eastAsia="zh-CN"/>
              </w:rPr>
            </w:pPr>
            <w:r>
              <w:rPr>
                <w:rFonts w:hint="eastAsia" w:eastAsia="宋体" w:cs="宋体-18030" w:asciiTheme="minorEastAsia" w:hAnsiTheme="minorEastAsia"/>
                <w:kern w:val="0"/>
                <w:sz w:val="24"/>
                <w:lang w:val="en-US" w:eastAsia="zh-CN"/>
              </w:rPr>
              <w:t>单位</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 w:type="dxa"/>
            <w:vAlign w:val="center"/>
          </w:tcPr>
          <w:p>
            <w:pPr>
              <w:spacing w:line="360" w:lineRule="auto"/>
              <w:jc w:val="center"/>
              <w:rPr>
                <w:rFonts w:cs="宋体-18030" w:asciiTheme="minorEastAsia" w:hAnsiTheme="minorEastAsia"/>
                <w:kern w:val="0"/>
                <w:sz w:val="24"/>
                <w:lang w:val="zh-CN"/>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spacing w:line="360" w:lineRule="auto"/>
              <w:jc w:val="center"/>
              <w:rPr>
                <w:rFonts w:cs="宋体-18030" w:asciiTheme="minorEastAsia" w:hAnsiTheme="minorEastAsia"/>
                <w:kern w:val="0"/>
                <w:sz w:val="24"/>
                <w:lang w:val="zh-CN"/>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spacing w:line="360" w:lineRule="auto"/>
              <w:jc w:val="center"/>
              <w:rPr>
                <w:rFonts w:cs="宋体-18030" w:asciiTheme="minorEastAsia" w:hAnsiTheme="minorEastAsia"/>
                <w:kern w:val="0"/>
                <w:sz w:val="24"/>
                <w:lang w:val="zh-CN"/>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spacing w:line="360" w:lineRule="auto"/>
              <w:jc w:val="center"/>
              <w:rPr>
                <w:rFonts w:cs="宋体-18030" w:asciiTheme="minorEastAsia" w:hAnsiTheme="minorEastAsia"/>
                <w:kern w:val="0"/>
                <w:sz w:val="24"/>
                <w:lang w:val="zh-CN"/>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spacing w:line="360" w:lineRule="auto"/>
              <w:jc w:val="center"/>
              <w:rPr>
                <w:rFonts w:cs="宋体-18030" w:asciiTheme="minorEastAsia" w:hAnsiTheme="minorEastAsia"/>
                <w:kern w:val="0"/>
                <w:sz w:val="24"/>
                <w:lang w:val="zh-CN"/>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spacing w:line="360" w:lineRule="auto"/>
              <w:jc w:val="center"/>
              <w:rPr>
                <w:rFonts w:cs="宋体-18030" w:asciiTheme="minorEastAsia" w:hAnsiTheme="minorEastAsia"/>
                <w:kern w:val="0"/>
                <w:sz w:val="24"/>
                <w:lang w:val="zh-CN"/>
              </w:rPr>
            </w:pPr>
          </w:p>
        </w:tc>
        <w:tc>
          <w:tcPr>
            <w:tcW w:w="1212" w:type="dxa"/>
            <w:vAlign w:val="center"/>
          </w:tcPr>
          <w:p>
            <w:pPr>
              <w:spacing w:line="360" w:lineRule="auto"/>
              <w:jc w:val="center"/>
              <w:rPr>
                <w:rFonts w:cs="宋体-18030" w:asciiTheme="minorEastAsia" w:hAnsiTheme="minorEastAsia"/>
                <w:kern w:val="0"/>
                <w:sz w:val="24"/>
                <w:lang w:val="zh-CN"/>
              </w:rPr>
            </w:pPr>
          </w:p>
        </w:tc>
        <w:tc>
          <w:tcPr>
            <w:tcW w:w="1155" w:type="dxa"/>
            <w:vAlign w:val="center"/>
          </w:tcPr>
          <w:p>
            <w:pPr>
              <w:spacing w:line="360" w:lineRule="auto"/>
              <w:jc w:val="center"/>
              <w:rPr>
                <w:rFonts w:cs="宋体-18030" w:asciiTheme="minorEastAsia" w:hAnsiTheme="minorEastAsia"/>
                <w:kern w:val="0"/>
                <w:sz w:val="24"/>
                <w:lang w:val="zh-CN"/>
              </w:rPr>
            </w:pPr>
          </w:p>
        </w:tc>
        <w:tc>
          <w:tcPr>
            <w:tcW w:w="945" w:type="dxa"/>
            <w:vAlign w:val="center"/>
          </w:tcPr>
          <w:p>
            <w:pPr>
              <w:spacing w:line="360" w:lineRule="auto"/>
              <w:jc w:val="center"/>
              <w:rPr>
                <w:rFonts w:cs="宋体-18030" w:asciiTheme="minorEastAsia" w:hAnsiTheme="minorEastAsia"/>
                <w:kern w:val="0"/>
                <w:sz w:val="24"/>
                <w:lang w:val="zh-CN"/>
              </w:rPr>
            </w:pPr>
          </w:p>
        </w:tc>
        <w:tc>
          <w:tcPr>
            <w:tcW w:w="840" w:type="dxa"/>
            <w:vAlign w:val="center"/>
          </w:tcPr>
          <w:p>
            <w:pPr>
              <w:spacing w:line="360" w:lineRule="auto"/>
              <w:jc w:val="center"/>
              <w:rPr>
                <w:rFonts w:cs="宋体-18030" w:asciiTheme="minorEastAsia" w:hAnsiTheme="minorEastAsia"/>
                <w:kern w:val="0"/>
                <w:sz w:val="24"/>
                <w:lang w:val="zh-CN"/>
              </w:rPr>
            </w:pPr>
          </w:p>
        </w:tc>
        <w:tc>
          <w:tcPr>
            <w:tcW w:w="975" w:type="dxa"/>
            <w:vAlign w:val="center"/>
          </w:tcPr>
          <w:p>
            <w:pPr>
              <w:spacing w:line="360" w:lineRule="auto"/>
              <w:jc w:val="center"/>
              <w:rPr>
                <w:rFonts w:cs="宋体-18030" w:asciiTheme="minorEastAsia" w:hAnsiTheme="minorEastAsia"/>
                <w:kern w:val="0"/>
                <w:sz w:val="24"/>
                <w:lang w:val="zh-CN"/>
              </w:rPr>
            </w:pPr>
          </w:p>
        </w:tc>
        <w:tc>
          <w:tcPr>
            <w:tcW w:w="1080" w:type="dxa"/>
            <w:vAlign w:val="center"/>
          </w:tcPr>
          <w:p>
            <w:pPr>
              <w:spacing w:line="360" w:lineRule="auto"/>
              <w:jc w:val="center"/>
              <w:rPr>
                <w:rFonts w:cs="宋体-18030" w:asciiTheme="minorEastAsia" w:hAnsiTheme="minorEastAsia"/>
                <w:kern w:val="0"/>
                <w:sz w:val="24"/>
                <w:lang w:val="zh-CN"/>
              </w:rPr>
            </w:pPr>
          </w:p>
        </w:tc>
        <w:tc>
          <w:tcPr>
            <w:tcW w:w="136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06" w:type="dxa"/>
            <w:gridSpan w:val="8"/>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pPr>
        <w:spacing w:line="360" w:lineRule="auto"/>
        <w:rPr>
          <w:rFonts w:hint="eastAsia" w:cs="宋体-18030" w:asciiTheme="minorEastAsia" w:hAnsiTheme="minorEastAsia"/>
          <w:kern w:val="0"/>
          <w:sz w:val="24"/>
          <w:lang w:val="zh-CN"/>
        </w:rPr>
      </w:pP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4AA391A"/>
    <w:rsid w:val="05DF1D45"/>
    <w:rsid w:val="07806F50"/>
    <w:rsid w:val="092B7C9B"/>
    <w:rsid w:val="12D45758"/>
    <w:rsid w:val="1386199F"/>
    <w:rsid w:val="14527E8A"/>
    <w:rsid w:val="17FC5E81"/>
    <w:rsid w:val="1BCC4363"/>
    <w:rsid w:val="1CC31199"/>
    <w:rsid w:val="21185B24"/>
    <w:rsid w:val="21537D13"/>
    <w:rsid w:val="284138AF"/>
    <w:rsid w:val="2DAF6449"/>
    <w:rsid w:val="2F860760"/>
    <w:rsid w:val="311B31B5"/>
    <w:rsid w:val="31513A4B"/>
    <w:rsid w:val="31F3775E"/>
    <w:rsid w:val="32FD5325"/>
    <w:rsid w:val="375D7870"/>
    <w:rsid w:val="3B3C6783"/>
    <w:rsid w:val="416E27A4"/>
    <w:rsid w:val="41B859F1"/>
    <w:rsid w:val="43B853C4"/>
    <w:rsid w:val="44312AB5"/>
    <w:rsid w:val="45162C52"/>
    <w:rsid w:val="47FE21A4"/>
    <w:rsid w:val="489E78CB"/>
    <w:rsid w:val="4A1252C8"/>
    <w:rsid w:val="4EA26EC9"/>
    <w:rsid w:val="50FC65B2"/>
    <w:rsid w:val="576E68A0"/>
    <w:rsid w:val="580D17EF"/>
    <w:rsid w:val="5A4757D5"/>
    <w:rsid w:val="5CEA1872"/>
    <w:rsid w:val="679E4E31"/>
    <w:rsid w:val="72161C9E"/>
    <w:rsid w:val="724476CA"/>
    <w:rsid w:val="7354137D"/>
    <w:rsid w:val="75C3275D"/>
    <w:rsid w:val="75E937B9"/>
    <w:rsid w:val="76087A92"/>
    <w:rsid w:val="79CA3D27"/>
    <w:rsid w:val="7AB229CD"/>
    <w:rsid w:val="7D582481"/>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szCs w:val="24"/>
    </w:rPr>
  </w:style>
  <w:style w:type="paragraph" w:styleId="4">
    <w:name w:val="Normal Indent"/>
    <w:basedOn w:val="1"/>
    <w:link w:val="17"/>
    <w:qFormat/>
    <w:uiPriority w:val="0"/>
    <w:pPr>
      <w:ind w:firstLine="420" w:firstLineChars="200"/>
    </w:pPr>
    <w:rPr>
      <w:rFonts w:ascii="Times New Roman" w:hAnsi="Times New Roman" w:eastAsia="宋体" w:cs="Times New Roman"/>
      <w:szCs w:val="24"/>
    </w:rPr>
  </w:style>
  <w:style w:type="paragraph" w:styleId="5">
    <w:name w:val="annotation text"/>
    <w:basedOn w:val="1"/>
    <w:link w:val="22"/>
    <w:semiHidden/>
    <w:unhideWhenUsed/>
    <w:qFormat/>
    <w:uiPriority w:val="99"/>
    <w:pPr>
      <w:jc w:val="left"/>
    </w:p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5"/>
    <w:next w:val="5"/>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4"/>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2"/>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5"/>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 w:type="table" w:customStyle="1" w:styleId="25">
    <w:name w:val="table"/>
    <w:basedOn w:val="9"/>
    <w:qFormat/>
    <w:uiPriority w:val="0"/>
  </w:style>
  <w:style w:type="character" w:customStyle="1" w:styleId="26">
    <w:name w:val="STYLE5"/>
    <w:basedOn w:val="11"/>
    <w:qFormat/>
    <w:uiPriority w:val="0"/>
    <w:rPr>
      <w:sz w:val="18"/>
      <w:szCs w:val="18"/>
    </w:rPr>
  </w:style>
  <w:style w:type="character" w:customStyle="1" w:styleId="27">
    <w:name w:val="span"/>
    <w:basedOn w:val="11"/>
    <w:qFormat/>
    <w:uiPriority w:val="0"/>
  </w:style>
  <w:style w:type="character" w:customStyle="1" w:styleId="28">
    <w:name w:val="a_not(.btn)"/>
    <w:basedOn w:val="11"/>
    <w:qFormat/>
    <w:uiPriority w:val="0"/>
    <w:rPr>
      <w:color w:val="0079F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2204</Characters>
  <Lines>35</Lines>
  <Paragraphs>10</Paragraphs>
  <TotalTime>1365</TotalTime>
  <ScaleCrop>false</ScaleCrop>
  <LinksUpToDate>false</LinksUpToDate>
  <CharactersWithSpaces>2353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yaopang</cp:lastModifiedBy>
  <dcterms:modified xsi:type="dcterms:W3CDTF">2023-02-17T09:40:47Z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