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ICU网络设备询价采购需求</w:t>
      </w:r>
    </w:p>
    <w:p>
      <w:pPr>
        <w:rPr>
          <w:rFonts w:asciiTheme="minorEastAsia" w:hAnsiTheme="minorEastAsia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技术、功能要求及其他相关要求</w:t>
      </w:r>
      <w:bookmarkStart w:id="1" w:name="_GoBack"/>
      <w:bookmarkEnd w:id="1"/>
    </w:p>
    <w:p>
      <w:pPr>
        <w:pStyle w:val="12"/>
        <w:ind w:firstLine="0" w:firstLineChars="0"/>
        <w:rPr>
          <w:rFonts w:asciiTheme="minorEastAsia" w:hAnsi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4"/>
          <w:szCs w:val="24"/>
        </w:rPr>
        <w:t>本项目最高限价：73600.00元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84"/>
        <w:gridCol w:w="3885"/>
        <w:gridCol w:w="457"/>
        <w:gridCol w:w="457"/>
        <w:gridCol w:w="939"/>
        <w:gridCol w:w="93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tblHeader/>
          <w:jc w:val="center"/>
        </w:trPr>
        <w:tc>
          <w:tcPr>
            <w:tcW w:w="280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518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设备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2311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技术、功能要求</w:t>
            </w:r>
          </w:p>
        </w:tc>
        <w:tc>
          <w:tcPr>
            <w:tcW w:w="289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89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数量</w:t>
            </w:r>
          </w:p>
        </w:tc>
        <w:tc>
          <w:tcPr>
            <w:tcW w:w="430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预算单价（元）</w:t>
            </w:r>
          </w:p>
        </w:tc>
        <w:tc>
          <w:tcPr>
            <w:tcW w:w="463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预算总价（元）</w:t>
            </w:r>
          </w:p>
        </w:tc>
        <w:tc>
          <w:tcPr>
            <w:tcW w:w="414" w:type="pc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交换机(内网)</w:t>
            </w:r>
          </w:p>
        </w:tc>
        <w:tc>
          <w:tcPr>
            <w:tcW w:w="23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1、交换容量≥336Gbps；包转发≥144Mpps；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2、端口数：≥48个10/100/1000BASE-T端口，≥4个100/1000 BASE-X SFP端口；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3、支持RRPP（快速环网保护协议），环网故障恢复时间不超过50ms；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4、支持实现CPU保护功能，能限制非法报文对CPU的攻击，保护交换机在各种环境下稳定工作；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5、支持最大堆叠台数&gt;=9台，支持单点管理功能，可以通过任意一台设备的Console口对整个堆叠进行管理，需提供官网截图；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6、支持完善的堆叠分裂检测机制，堆叠分裂后能完成MAC和IP地址的重配置；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7、支持基于端口的VLAN，支持基于协议的VLAN；最大VLAN数(不是VLAN ID)&gt;=4000；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8、支持IGMP Snooping v1/v2/v3，MLD Snooping v1/v2，支持IPv6静态路由、RIPng、OSPF v3、IS-IS v6、BGP4+ 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9、支持基于第二层、第三层和第四层的ACL，整机提供ACl条目数不小于1K条；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11500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23000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8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交换机(外网)</w:t>
            </w:r>
          </w:p>
        </w:tc>
        <w:tc>
          <w:tcPr>
            <w:tcW w:w="23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1、交换容量≥68Gbps；包转发≥15Mpps；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2、端口数：≥8个10/100/1000BASE-T端口，≥2个100/1000 BASE-X SFP端口；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3、支持IPV4/IPv6静态路由、双协议栈；支持WEB网管，支持DHCP-client,支持一键盘还原，支持基于端口的双向流量镜像；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4、支持IGMP V1/V2/V3 Snooping，支持组播VLAN，支持IPV6组播设置；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5、支持二层、三层、四层ACL，支持IPv4、IPv6 ACL，支持VLAN ACL；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6、支持IEEE 802.3ad（动态链路聚合）、静态端口聚合；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2600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2600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28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光模块</w:t>
            </w:r>
          </w:p>
        </w:tc>
        <w:tc>
          <w:tcPr>
            <w:tcW w:w="23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千兆单模，光模块-SFP-GE-单模模块-(1310nm,10km,LC)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（与交换机同品牌）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3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28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无线AP系统</w:t>
            </w:r>
          </w:p>
        </w:tc>
        <w:tc>
          <w:tcPr>
            <w:tcW w:w="2311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一、无线控制器：1台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1、接口数：LAN口≥6GE，WAN口≥2GE，≥2个10GBASE-R-SFP+口，USB≥1个；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2、集中转发性能≥4Gbps，支持常规AP最大数量≥64；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3、支持AC内漫游，支持跨AC间漫游，支持跨VLAN的三层漫游；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为监控AP有线端口异常所引起的无线网络体检较差的原因，所投产品需要支持：有线端口接收错包持续增长、AP有线端口Down、有线端口协商速率低、有线端口发送错包持续增加、有线端口协商成半双工等问题的检测，需要提供功能截图证明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5、为实现AC的全面运维，所投产品需要支持：AC CPU、内存使用率以及历史信息，AC整机广播、组播、单播流量成分以及历史信息，AC仿真面板端口图以及每端口广播、组播、单播流量成分以及历史信息，同时可以识别最近一分钟端口入方向广播组播占比过高、最近一分钟端口流量过大等异常事件，需要提供第三方认证报告证明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为识别因IP地址获取异常造成的用户体验差的情形，所投产品需要支持终端IP地址获取失败、终端IP地址获取超时、终端IP获取慢等异常数量统计，并给出问题分布趋势图、该问题所影响的具体终端，涉及的AP以及该AP发生该异常的数量统计，需要提供第三方认证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7、为了有效排查无线网络中存在的匿名攻击的隐患，所投产品需要具备仿冒终端检查的能力，并且识别仿冒终端所接入SSID、AP以及终端设备型号、终端操作系统等信息，要求提供第三方认证报告证明；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8、要求提供所投设备进网许可证；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9、要求提供国家强制性产品认证证书；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二、无线AP：8台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1、采用双频四流设计，可工作在802.11a/b/g/n/ac/ac wave2/ax模式，提供官网截图证明；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2、整机协商速率≥2.975Gbps，其中5G射频速率≥2.4G，2.4G射频速率≥0.575G，提供官网截图；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3、AP内置多合一版本可根据需求灵活的切换工作模式版本，支持Fit AP、Fat AP和云AP三种工作类型；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4、支持802.1x认证、MAC地址认证、PSK认证、Portal认证等；open system/shared key认证；增强开放系统认证WPA、WPA2、WPA3、Pre-RSNA用户混合接入，提供官网截图；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5、支持WIPS，配合无线控制器/无线交换机可以同时支持Rogue检测、入侵检测以及黑名单和白名单等WIPS特性，可对无线非法设备进行检测，识别和反制，进行有效阻断，提供官网截图；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、支持云平台管理，无需硬件AC和认证服务器即可进行无线组网，实现PPSK，PSK，Portal，短信，微信等丰富的认证功能。支持分支机构极简开局，分级分权管理，支持总部智慧化大屏，自定义配置模板等特性。通过智能运维可以全面掌握无线设备、网络、终端状态，并提供极简管理和运维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7、支持ATF(Airtime Fairness，发送时间公平性)技术通过转移部分慢速设备的服务时间给快速设备，优化等待时间，使高协议终端可以充分利用空口，降低了低协议终端对高协议终端的影响，提高了无线网络的整体传输速度和性能。要求提供工信部或下属实验室出具的第三方测试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、支持在网络拥塞情况下，通过对终端发送的报文进行识别，在多业务并行处理时，可以对关键业务（如视频会议、时延敏感类游戏等）优先处理从而实现应用加速，同时双WiFi功能对链路可靠性的提升，保证了用户使用体验。要求提供工信部或下属实验室出具的第三方测试报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9、为保证终端互联互通有效性，投标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需提供投标产品WiFi联盟证书；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三、无线AC授权：8个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增强型无线控制器license授权函-管理1AP-企业网专用-V7专用；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四、辅材及安装调试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优质：同品牌24口POE供电交换机、六类非屏蔽网线2箱、水晶头、标签、胶布、扎带、小五金及安装调试等。【注：本项如后期不涉及安装调试，则按扣除本项的安装调试费（本项安装调试费=本项成交价*8%）】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36000</w:t>
            </w:r>
          </w:p>
        </w:tc>
        <w:tc>
          <w:tcPr>
            <w:tcW w:w="4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36000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实现区域网络全覆盖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111" w:type="pct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73600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b/>
          <w:sz w:val="30"/>
          <w:szCs w:val="30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二、服务及</w:t>
      </w:r>
      <w:r>
        <w:rPr>
          <w:rFonts w:hint="eastAsia" w:ascii="宋体" w:hAnsi="宋体"/>
          <w:b/>
          <w:bCs/>
          <w:sz w:val="24"/>
        </w:rPr>
        <w:t>商务</w:t>
      </w:r>
      <w:r>
        <w:rPr>
          <w:rFonts w:hint="eastAsia" w:asciiTheme="minorEastAsia" w:hAnsiTheme="minorEastAsia"/>
          <w:b/>
          <w:sz w:val="24"/>
        </w:rPr>
        <w:t>要求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、交货期限：合同签订生效后3天内完成供货。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付款方式：货物到达交货地点(资阳市雁江区人民医院设备安装现场)，经安装、调试、验收合格后30个工作日内转账支付合同总金额95%的货款，余款5%在质保期到期后的30个工作日内无任何质量及违约问题全部无息转账付清（如质保期内产品出现质量问题则余款支付期相应顺延）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、产品质保：安装验收合格后≥1年，质保期后中标供应商须提供终身维修维护服务。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、技术支持与售后服务：供应商应具有完善的售后服务体系，并在接到用户维修要求后10分钟内响应，30分钟内到现场实施维修。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、安装、调试及培训：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.1  设备到货后，供应商按买方通知时间派工程技术人员到达现场，在买方技术人员在场的情况下，开箱清点货物，进行设备的安装、调试、及试运行，直至设备正常运行。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.2  供应商负责对买方技术人员、操作人员不少于2名进行免费培训，培训内容包括设备操作，设备维护及简单的设备维修等，直至技术人员、操作人员能够熟练掌握为止。培训人员名单由买方确定。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.3  供应商应提供设备的技术文件，包括相应的图纸、操作手册、维护手册、质量保证文件、服务指南等，这些文件应随同设备一起发运至买方。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、履约验收报告：按照</w:t>
      </w:r>
      <w:r>
        <w:rPr>
          <w:rFonts w:hint="eastAsia" w:cs="Times New Roman" w:asciiTheme="minorEastAsia" w:hAnsiTheme="minorEastAsia"/>
          <w:sz w:val="24"/>
          <w:szCs w:val="24"/>
        </w:rPr>
        <w:t>《财政部关于进一步加强政府采购需求和履约验收管理的指导意见》（财库〔</w:t>
      </w:r>
      <w:r>
        <w:rPr>
          <w:rFonts w:cs="Times New Roman" w:asciiTheme="minorEastAsia" w:hAnsiTheme="minorEastAsia"/>
          <w:sz w:val="24"/>
          <w:szCs w:val="24"/>
        </w:rPr>
        <w:t>2016</w:t>
      </w:r>
      <w:r>
        <w:rPr>
          <w:rFonts w:hint="eastAsia" w:cs="Times New Roman" w:asciiTheme="minorEastAsia" w:hAnsiTheme="minorEastAsia"/>
          <w:sz w:val="24"/>
          <w:szCs w:val="24"/>
        </w:rPr>
        <w:t>〕</w:t>
      </w:r>
      <w:r>
        <w:rPr>
          <w:rFonts w:cs="Times New Roman" w:asciiTheme="minorEastAsia" w:hAnsiTheme="minorEastAsia"/>
          <w:sz w:val="24"/>
          <w:szCs w:val="24"/>
        </w:rPr>
        <w:t>205</w:t>
      </w:r>
      <w:r>
        <w:rPr>
          <w:rFonts w:hint="eastAsia" w:cs="Times New Roman" w:asciiTheme="minorEastAsia" w:hAnsiTheme="minorEastAsia"/>
          <w:sz w:val="24"/>
          <w:szCs w:val="24"/>
        </w:rPr>
        <w:t>号）</w:t>
      </w:r>
      <w:r>
        <w:rPr>
          <w:rFonts w:hint="eastAsia" w:asciiTheme="minorEastAsia" w:hAnsiTheme="minorEastAsia"/>
          <w:sz w:val="24"/>
          <w:szCs w:val="24"/>
        </w:rPr>
        <w:t>及招标文件服务要求、投标文件响应情况和国家、行业标准进行验收。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1.递交响应文件截止时间：2022年12月26日11:00（北京时间）。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2.递交响应文件地点：资阳市雁江区人民医院采购办（住院部12楼）。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 xml:space="preserve">联系人：罗老师 </w:t>
      </w:r>
    </w:p>
    <w:p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联系电话：028-26346672</w:t>
      </w:r>
    </w:p>
    <w:p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16"/>
        <w:gridCol w:w="978"/>
        <w:gridCol w:w="1271"/>
        <w:gridCol w:w="142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总价</w:t>
            </w: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本次报价含安装、运输、安装人工费及税费等。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0164"/>
    <w:multiLevelType w:val="multilevel"/>
    <w:tmpl w:val="6EFF01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33375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8F39AC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D4BDD"/>
    <w:rsid w:val="00FE4DD7"/>
    <w:rsid w:val="00FE7851"/>
    <w:rsid w:val="00FF34C4"/>
    <w:rsid w:val="00FF3BEE"/>
    <w:rsid w:val="00FF4698"/>
    <w:rsid w:val="23FC2801"/>
    <w:rsid w:val="284138AF"/>
    <w:rsid w:val="311B31B5"/>
    <w:rsid w:val="36F7419E"/>
    <w:rsid w:val="47FE21A4"/>
    <w:rsid w:val="51221F6B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link w:val="15"/>
    <w:qFormat/>
    <w:uiPriority w:val="0"/>
    <w:pPr>
      <w:ind w:firstLine="420" w:firstLineChars="200"/>
    </w:pPr>
  </w:style>
  <w:style w:type="character" w:customStyle="1" w:styleId="13">
    <w:name w:val="批注框文本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列出段落 Char"/>
    <w:link w:val="12"/>
    <w:qFormat/>
    <w:uiPriority w:val="0"/>
  </w:style>
  <w:style w:type="paragraph" w:customStyle="1" w:styleId="16">
    <w:name w:val="样式 首行缩进:  2 字符"/>
    <w:basedOn w:val="1"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7">
    <w:name w:val="正文文本 Char"/>
    <w:link w:val="2"/>
    <w:qFormat/>
    <w:locked/>
    <w:uiPriority w:val="99"/>
    <w:rPr>
      <w:szCs w:val="24"/>
    </w:rPr>
  </w:style>
  <w:style w:type="character" w:customStyle="1" w:styleId="18">
    <w:name w:val="正文文本 Char1"/>
    <w:basedOn w:val="10"/>
    <w:semiHidden/>
    <w:uiPriority w:val="99"/>
  </w:style>
  <w:style w:type="character" w:customStyle="1" w:styleId="19">
    <w:name w:val="批注文字 Char"/>
    <w:basedOn w:val="10"/>
    <w:link w:val="4"/>
    <w:semiHidden/>
    <w:uiPriority w:val="99"/>
  </w:style>
  <w:style w:type="character" w:customStyle="1" w:styleId="20">
    <w:name w:val="批注主题 Char"/>
    <w:basedOn w:val="19"/>
    <w:link w:val="7"/>
    <w:semiHidden/>
    <w:uiPriority w:val="99"/>
    <w:rPr>
      <w:b/>
      <w:bCs/>
    </w:rPr>
  </w:style>
  <w:style w:type="character" w:customStyle="1" w:styleId="21">
    <w:name w:val="纯文本 Char"/>
    <w:basedOn w:val="10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677</Words>
  <Characters>3861</Characters>
  <Lines>32</Lines>
  <Paragraphs>9</Paragraphs>
  <TotalTime>5</TotalTime>
  <ScaleCrop>false</ScaleCrop>
  <LinksUpToDate>false</LinksUpToDate>
  <CharactersWithSpaces>4529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2022-12-20T02:44:23Z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