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rPr>
        <w:t>营养物资一批询价采购需求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9"/>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为了保证</w:t>
      </w:r>
      <w:r>
        <w:rPr>
          <w:rFonts w:hint="eastAsia" w:asciiTheme="minorEastAsia" w:hAnsiTheme="minorEastAsia" w:cstheme="minorEastAsia"/>
          <w:b/>
          <w:bCs/>
          <w:sz w:val="28"/>
          <w:szCs w:val="28"/>
          <w:lang w:eastAsia="zh-CN"/>
        </w:rPr>
        <w:t>医疗业务的</w:t>
      </w:r>
      <w:r>
        <w:rPr>
          <w:rFonts w:hint="eastAsia" w:asciiTheme="minorEastAsia" w:hAnsiTheme="minorEastAsia" w:cstheme="minorEastAsia"/>
          <w:b/>
          <w:bCs/>
          <w:sz w:val="28"/>
          <w:szCs w:val="28"/>
        </w:rPr>
        <w:t>正常</w:t>
      </w:r>
      <w:r>
        <w:rPr>
          <w:rFonts w:hint="eastAsia" w:asciiTheme="minorEastAsia" w:hAnsiTheme="minorEastAsia" w:cstheme="minorEastAsia"/>
          <w:b/>
          <w:bCs/>
          <w:sz w:val="28"/>
          <w:szCs w:val="28"/>
          <w:lang w:eastAsia="zh-CN"/>
        </w:rPr>
        <w:t>开展</w:t>
      </w:r>
      <w:r>
        <w:rPr>
          <w:rFonts w:hint="eastAsia" w:asciiTheme="minorEastAsia" w:hAnsiTheme="minorEastAsia" w:cstheme="minorEastAsia"/>
          <w:b/>
          <w:bCs/>
          <w:sz w:val="28"/>
          <w:szCs w:val="28"/>
        </w:rPr>
        <w:t>，</w:t>
      </w:r>
      <w:r>
        <w:rPr>
          <w:rFonts w:hint="eastAsia" w:asciiTheme="minorEastAsia" w:hAnsiTheme="minorEastAsia" w:cstheme="minorEastAsia"/>
          <w:b/>
          <w:bCs/>
          <w:sz w:val="28"/>
          <w:szCs w:val="28"/>
          <w:lang w:eastAsia="zh-CN"/>
        </w:rPr>
        <w:t>需购买一批营养物资</w:t>
      </w:r>
      <w:r>
        <w:rPr>
          <w:rFonts w:hint="eastAsia" w:asciiTheme="minorEastAsia" w:hAnsiTheme="minorEastAsia" w:cstheme="minorEastAsia"/>
          <w:b/>
          <w:bCs/>
          <w:sz w:val="28"/>
          <w:szCs w:val="28"/>
        </w:rPr>
        <w:t>。本项目供货期限为自签订合同之日起1年内</w:t>
      </w:r>
      <w:r>
        <w:rPr>
          <w:rFonts w:hint="eastAsia" w:asciiTheme="minorEastAsia" w:hAnsiTheme="minorEastAsia" w:cstheme="minorEastAsia"/>
          <w:b/>
          <w:bCs/>
          <w:sz w:val="28"/>
          <w:szCs w:val="28"/>
          <w:lang w:eastAsia="zh-CN"/>
        </w:rPr>
        <w:t>，本项目由于其特殊性，数量不确定，根据工作需要，以实际供货数量为准，累</w:t>
      </w:r>
      <w:r>
        <w:rPr>
          <w:rFonts w:hint="eastAsia" w:asciiTheme="minorEastAsia" w:hAnsiTheme="minorEastAsia" w:cstheme="minorEastAsia"/>
          <w:b/>
          <w:bCs/>
          <w:sz w:val="28"/>
          <w:szCs w:val="28"/>
        </w:rPr>
        <w:t>计结算金额不得超过预算金额</w:t>
      </w:r>
      <w:r>
        <w:rPr>
          <w:rFonts w:hint="eastAsia" w:asciiTheme="minorEastAsia" w:hAnsiTheme="minorEastAsia" w:cstheme="minorEastAsia"/>
          <w:b/>
          <w:bCs/>
          <w:sz w:val="28"/>
          <w:szCs w:val="28"/>
          <w:lang w:val="en-US" w:eastAsia="zh-CN"/>
        </w:rPr>
        <w:t>13.5</w:t>
      </w:r>
      <w:r>
        <w:rPr>
          <w:rFonts w:hint="eastAsia" w:asciiTheme="minorEastAsia" w:hAnsiTheme="minorEastAsia" w:cstheme="minorEastAsia"/>
          <w:b/>
          <w:bCs/>
          <w:sz w:val="28"/>
          <w:szCs w:val="28"/>
        </w:rPr>
        <w:t>万元，分项限价见“采购清单及技术要求”。</w:t>
      </w:r>
    </w:p>
    <w:p>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820"/>
        <w:gridCol w:w="1027"/>
        <w:gridCol w:w="1035"/>
        <w:gridCol w:w="345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序号</w:t>
            </w:r>
          </w:p>
        </w:tc>
        <w:tc>
          <w:tcPr>
            <w:tcW w:w="107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产品名称</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lang w:eastAsia="zh-CN"/>
              </w:rPr>
              <w:t>计价</w:t>
            </w:r>
            <w:r>
              <w:rPr>
                <w:rFonts w:hint="eastAsia" w:ascii="宋体" w:hAnsi="宋体" w:cs="宋体"/>
                <w:b/>
                <w:bCs/>
                <w:szCs w:val="21"/>
              </w:rPr>
              <w:t>单位</w:t>
            </w:r>
          </w:p>
        </w:tc>
        <w:tc>
          <w:tcPr>
            <w:tcW w:w="610"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最高单价限价（元）</w:t>
            </w:r>
          </w:p>
        </w:tc>
        <w:tc>
          <w:tcPr>
            <w:tcW w:w="202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技术要求</w:t>
            </w:r>
          </w:p>
        </w:tc>
        <w:tc>
          <w:tcPr>
            <w:tcW w:w="447"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bCs/>
                <w:szCs w:val="21"/>
              </w:rPr>
            </w:pPr>
            <w:r>
              <w:rPr>
                <w:rFonts w:hint="eastAsia" w:ascii="宋体" w:hAnsi="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整蛋白型营养制剂</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12.4</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1.每100g蛋白质含量≥16g</w:t>
            </w:r>
          </w:p>
          <w:p>
            <w:pPr>
              <w:rPr>
                <w:rFonts w:hint="eastAsia" w:ascii="宋体" w:hAnsi="宋体" w:cs="宋体"/>
                <w:szCs w:val="21"/>
              </w:rPr>
            </w:pPr>
            <w:r>
              <w:rPr>
                <w:rFonts w:hint="eastAsia" w:ascii="宋体" w:hAnsi="宋体" w:cs="宋体"/>
                <w:szCs w:val="21"/>
              </w:rPr>
              <w:t>2.每100g脂肪含量≥11g</w:t>
            </w:r>
          </w:p>
          <w:p>
            <w:pPr>
              <w:rPr>
                <w:rFonts w:hint="eastAsia" w:ascii="宋体" w:hAnsi="宋体" w:cs="宋体"/>
                <w:szCs w:val="21"/>
              </w:rPr>
            </w:pPr>
            <w:r>
              <w:rPr>
                <w:rFonts w:hint="eastAsia" w:ascii="宋体" w:hAnsi="宋体" w:cs="宋体"/>
                <w:szCs w:val="21"/>
              </w:rPr>
              <w:t>3.每100g碳水化合物含量≥55g</w:t>
            </w:r>
          </w:p>
          <w:p>
            <w:pPr>
              <w:rPr>
                <w:rFonts w:hint="eastAsia" w:ascii="宋体" w:hAnsi="宋体" w:cs="宋体"/>
                <w:szCs w:val="21"/>
              </w:rPr>
            </w:pPr>
            <w:r>
              <w:rPr>
                <w:rFonts w:hint="eastAsia" w:ascii="宋体" w:hAnsi="宋体" w:cs="宋体"/>
                <w:szCs w:val="21"/>
              </w:rPr>
              <w:t>4.每100g膳食纤维含量≥4g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2</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整蛋白膳食纤维营养素饮料</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100ml</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15</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1.每100ml蛋白质含量≥4g。</w:t>
            </w:r>
          </w:p>
          <w:p>
            <w:pPr>
              <w:rPr>
                <w:rFonts w:hint="eastAsia" w:ascii="宋体" w:hAnsi="宋体" w:cs="宋体"/>
                <w:szCs w:val="21"/>
              </w:rPr>
            </w:pPr>
            <w:r>
              <w:rPr>
                <w:rFonts w:hint="eastAsia" w:ascii="宋体" w:hAnsi="宋体" w:cs="宋体"/>
                <w:szCs w:val="21"/>
              </w:rPr>
              <w:t>2.每100ml脂肪含量≤4g。</w:t>
            </w:r>
          </w:p>
          <w:p>
            <w:pPr>
              <w:rPr>
                <w:rFonts w:hint="eastAsia" w:ascii="宋体" w:hAnsi="宋体" w:cs="宋体"/>
                <w:szCs w:val="21"/>
              </w:rPr>
            </w:pPr>
            <w:r>
              <w:rPr>
                <w:rFonts w:hint="eastAsia" w:ascii="宋体" w:hAnsi="宋体" w:cs="宋体"/>
                <w:szCs w:val="21"/>
              </w:rPr>
              <w:t>3.每100ml碳水化合物含量≥10g。</w:t>
            </w:r>
          </w:p>
          <w:p>
            <w:pPr>
              <w:rPr>
                <w:rFonts w:hint="eastAsia" w:ascii="宋体" w:hAnsi="宋体" w:cs="宋体"/>
                <w:szCs w:val="21"/>
              </w:rPr>
            </w:pPr>
            <w:r>
              <w:rPr>
                <w:rFonts w:hint="eastAsia" w:ascii="宋体" w:hAnsi="宋体" w:cs="宋体"/>
                <w:szCs w:val="21"/>
              </w:rPr>
              <w:t>4.每100ml膳食纤维含量≥1g。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3</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短肽型配方营养制剂</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43</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1.每100g蛋白质含量≥16g</w:t>
            </w:r>
          </w:p>
          <w:p>
            <w:pPr>
              <w:rPr>
                <w:rFonts w:hint="eastAsia" w:ascii="宋体" w:hAnsi="宋体" w:cs="宋体"/>
                <w:szCs w:val="21"/>
              </w:rPr>
            </w:pPr>
            <w:r>
              <w:rPr>
                <w:rFonts w:hint="eastAsia" w:ascii="宋体" w:hAnsi="宋体" w:cs="宋体"/>
                <w:szCs w:val="21"/>
              </w:rPr>
              <w:t>2.每100g脂肪含量≤2g</w:t>
            </w:r>
          </w:p>
          <w:p>
            <w:pPr>
              <w:rPr>
                <w:rFonts w:hint="eastAsia" w:ascii="宋体" w:hAnsi="宋体" w:cs="宋体"/>
                <w:szCs w:val="21"/>
              </w:rPr>
            </w:pPr>
            <w:r>
              <w:rPr>
                <w:rFonts w:hint="eastAsia" w:ascii="宋体" w:hAnsi="宋体" w:cs="宋体"/>
                <w:szCs w:val="21"/>
              </w:rPr>
              <w:t>3.每100g碳水化合物含量≥75g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4</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肿瘤全营养</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42</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1.每100g蛋白质含量≥21g</w:t>
            </w:r>
          </w:p>
          <w:p>
            <w:pPr>
              <w:rPr>
                <w:rFonts w:hint="eastAsia" w:ascii="宋体" w:hAnsi="宋体" w:cs="宋体"/>
                <w:szCs w:val="21"/>
              </w:rPr>
            </w:pPr>
            <w:r>
              <w:rPr>
                <w:rFonts w:hint="eastAsia" w:ascii="宋体" w:hAnsi="宋体" w:cs="宋体"/>
                <w:szCs w:val="21"/>
              </w:rPr>
              <w:t>2.每100g脂肪含量≥23g</w:t>
            </w:r>
          </w:p>
          <w:p>
            <w:pPr>
              <w:rPr>
                <w:rFonts w:hint="eastAsia" w:ascii="宋体" w:hAnsi="宋体" w:cs="宋体"/>
                <w:szCs w:val="21"/>
              </w:rPr>
            </w:pPr>
            <w:r>
              <w:rPr>
                <w:rFonts w:hint="eastAsia" w:ascii="宋体" w:hAnsi="宋体" w:cs="宋体"/>
                <w:szCs w:val="21"/>
              </w:rPr>
              <w:t>3.每100g碳水化合物含量≥45g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5</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低GI型营养制剂（糖尿病全营养）</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18</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1.每100g蛋白质含量≥20g</w:t>
            </w:r>
          </w:p>
          <w:p>
            <w:pPr>
              <w:rPr>
                <w:rFonts w:hint="eastAsia" w:ascii="宋体" w:hAnsi="宋体" w:cs="宋体"/>
                <w:szCs w:val="21"/>
              </w:rPr>
            </w:pPr>
            <w:r>
              <w:rPr>
                <w:rFonts w:hint="eastAsia" w:ascii="宋体" w:hAnsi="宋体" w:cs="宋体"/>
                <w:szCs w:val="21"/>
              </w:rPr>
              <w:t>2.每100g脂肪含量≥14g</w:t>
            </w:r>
          </w:p>
          <w:p>
            <w:pPr>
              <w:rPr>
                <w:rFonts w:hint="eastAsia" w:ascii="宋体" w:hAnsi="宋体" w:cs="宋体"/>
                <w:szCs w:val="21"/>
              </w:rPr>
            </w:pPr>
            <w:r>
              <w:rPr>
                <w:rFonts w:hint="eastAsia" w:ascii="宋体" w:hAnsi="宋体" w:cs="宋体"/>
                <w:szCs w:val="21"/>
              </w:rPr>
              <w:t>3.每100g碳水化合物含量≥50g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6</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纤维型匀浆</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8</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1.每100g蛋白质含量≥17g</w:t>
            </w:r>
          </w:p>
          <w:p>
            <w:pPr>
              <w:rPr>
                <w:rFonts w:hint="eastAsia" w:ascii="宋体" w:hAnsi="宋体" w:cs="宋体"/>
                <w:szCs w:val="21"/>
              </w:rPr>
            </w:pPr>
            <w:r>
              <w:rPr>
                <w:rFonts w:hint="eastAsia" w:ascii="宋体" w:hAnsi="宋体" w:cs="宋体"/>
                <w:szCs w:val="21"/>
              </w:rPr>
              <w:t>2.每100g脂肪含量≤15g</w:t>
            </w:r>
          </w:p>
          <w:p>
            <w:pPr>
              <w:rPr>
                <w:rFonts w:hint="eastAsia" w:ascii="宋体" w:hAnsi="宋体" w:cs="宋体"/>
                <w:szCs w:val="21"/>
              </w:rPr>
            </w:pPr>
            <w:r>
              <w:rPr>
                <w:rFonts w:hint="eastAsia" w:ascii="宋体" w:hAnsi="宋体" w:cs="宋体"/>
                <w:szCs w:val="21"/>
              </w:rPr>
              <w:t>3.每100g碳水化合物含量≥50g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7</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乳清蛋白营养制剂</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47</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1.每100g蛋白质含量≥80g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8</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膳食纤维饮料</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75</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 膳食纤维≥93g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9</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益生菌</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330</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1.益生菌种类不低于7种</w:t>
            </w:r>
          </w:p>
          <w:p>
            <w:pPr>
              <w:rPr>
                <w:rFonts w:hint="eastAsia" w:ascii="宋体" w:hAnsi="宋体" w:cs="宋体"/>
                <w:szCs w:val="21"/>
              </w:rPr>
            </w:pPr>
            <w:r>
              <w:rPr>
                <w:rFonts w:hint="eastAsia" w:ascii="宋体" w:hAnsi="宋体" w:cs="宋体"/>
                <w:szCs w:val="21"/>
              </w:rPr>
              <w:t>2.每克活菌数≥50亿cfu</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麦芽糊精</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4</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1.碳水化合物含量≥90%</w:t>
            </w:r>
          </w:p>
        </w:tc>
        <w:tc>
          <w:tcPr>
            <w:tcW w:w="447" w:type="pct"/>
            <w:tcBorders>
              <w:top w:val="single" w:color="auto" w:sz="4" w:space="0"/>
              <w:left w:val="nil"/>
              <w:bottom w:val="single" w:color="auto" w:sz="4" w:space="0"/>
              <w:right w:val="single" w:color="auto" w:sz="4" w:space="0"/>
            </w:tcBorders>
            <w:noWrap w:val="0"/>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11</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MCT组件</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98</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 每100 g能量≥2800KJ，脂肪含量≥60%。</w:t>
            </w:r>
          </w:p>
          <w:p>
            <w:pPr>
              <w:rPr>
                <w:rFonts w:hint="eastAsia" w:ascii="宋体" w:hAnsi="宋体" w:cs="宋体"/>
                <w:szCs w:val="21"/>
              </w:rPr>
            </w:pPr>
            <w:r>
              <w:rPr>
                <w:rFonts w:hint="eastAsia" w:ascii="宋体" w:hAnsi="宋体" w:cs="宋体"/>
                <w:szCs w:val="21"/>
              </w:rPr>
              <w:t>2. 最小包装不得大于15g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12</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谷氨酰胺组件</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100</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1.谷氨酰胺：≥70.0g</w:t>
            </w:r>
          </w:p>
          <w:p>
            <w:pPr>
              <w:rPr>
                <w:rFonts w:hint="eastAsia" w:ascii="宋体" w:hAnsi="宋体" w:cs="宋体"/>
                <w:szCs w:val="21"/>
              </w:rPr>
            </w:pPr>
            <w:r>
              <w:rPr>
                <w:rFonts w:hint="eastAsia" w:ascii="宋体" w:hAnsi="宋体" w:cs="宋体"/>
                <w:szCs w:val="21"/>
              </w:rPr>
              <w:t>2.蛋白质：≥95.0g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13</w:t>
            </w:r>
          </w:p>
        </w:tc>
        <w:tc>
          <w:tcPr>
            <w:tcW w:w="1071"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铁元素组件</w:t>
            </w:r>
          </w:p>
        </w:tc>
        <w:tc>
          <w:tcPr>
            <w:tcW w:w="605"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100克</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250</w:t>
            </w:r>
          </w:p>
        </w:tc>
        <w:tc>
          <w:tcPr>
            <w:tcW w:w="202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r>
              <w:rPr>
                <w:rFonts w:hint="eastAsia" w:ascii="宋体" w:hAnsi="宋体" w:cs="宋体"/>
                <w:szCs w:val="21"/>
              </w:rPr>
              <w:t>1.每100g铁元素含量≥500.0mg</w:t>
            </w:r>
          </w:p>
        </w:tc>
        <w:tc>
          <w:tcPr>
            <w:tcW w:w="447" w:type="pct"/>
            <w:tcBorders>
              <w:top w:val="single" w:color="auto" w:sz="4" w:space="0"/>
              <w:left w:val="nil"/>
              <w:bottom w:val="single" w:color="auto" w:sz="4" w:space="0"/>
              <w:right w:val="single" w:color="auto" w:sz="4" w:space="0"/>
            </w:tcBorders>
            <w:noWrap w:val="0"/>
            <w:vAlign w:val="center"/>
          </w:tcPr>
          <w:p>
            <w:pPr>
              <w:rPr>
                <w:rFonts w:hint="eastAsia" w:ascii="宋体" w:hAnsi="宋体" w:cs="宋体"/>
                <w:szCs w:val="21"/>
              </w:rPr>
            </w:pPr>
          </w:p>
        </w:tc>
      </w:tr>
    </w:tbl>
    <w:p>
      <w:pPr>
        <w:spacing w:line="360" w:lineRule="auto"/>
        <w:jc w:val="left"/>
        <w:rPr>
          <w:rFonts w:asciiTheme="minorEastAsia" w:hAnsiTheme="minorEastAsia"/>
          <w:b/>
          <w:bCs/>
          <w:sz w:val="24"/>
          <w:szCs w:val="24"/>
        </w:rPr>
      </w:pPr>
      <w:r>
        <w:rPr>
          <w:rFonts w:hint="eastAsia" w:ascii="宋体" w:hAnsi="宋体" w:cs="宋体"/>
          <w:b/>
          <w:bCs/>
          <w:sz w:val="24"/>
        </w:rPr>
        <w:t>说明：</w:t>
      </w:r>
      <w:r>
        <w:rPr>
          <w:rFonts w:hint="eastAsia" w:ascii="宋体" w:hAnsi="宋体" w:cs="宋体"/>
          <w:sz w:val="24"/>
        </w:rPr>
        <w:t>以上所有产品均需提供检验检测报告复印件，并加盖</w:t>
      </w:r>
      <w:r>
        <w:rPr>
          <w:rFonts w:hint="eastAsia" w:ascii="宋体" w:hAnsi="宋体" w:cs="宋体"/>
          <w:sz w:val="24"/>
          <w:lang w:eastAsia="zh-CN"/>
        </w:rPr>
        <w:t>投标人</w:t>
      </w:r>
      <w:r>
        <w:rPr>
          <w:rFonts w:hint="eastAsia" w:ascii="宋体" w:hAnsi="宋体" w:cs="宋体"/>
          <w:sz w:val="24"/>
        </w:rPr>
        <w:t>公章。</w:t>
      </w:r>
      <w:r>
        <w:rPr>
          <w:rFonts w:hint="eastAsia" w:ascii="宋体" w:hAnsi="宋体" w:cs="宋体"/>
          <w:b/>
          <w:bCs/>
          <w:sz w:val="24"/>
        </w:rPr>
        <w:t>（实质性要求）</w:t>
      </w:r>
    </w:p>
    <w:p>
      <w:pPr>
        <w:spacing w:line="360" w:lineRule="auto"/>
        <w:jc w:val="left"/>
        <w:rPr>
          <w:rFonts w:asciiTheme="minorEastAsia" w:hAnsiTheme="minorEastAsia"/>
          <w:b/>
          <w:bCs/>
          <w:sz w:val="24"/>
          <w:szCs w:val="24"/>
        </w:rPr>
      </w:pPr>
      <w:r>
        <w:rPr>
          <w:rFonts w:hint="eastAsia" w:asciiTheme="minorEastAsia" w:hAnsiTheme="minorEastAsia"/>
          <w:b/>
          <w:bCs/>
          <w:sz w:val="24"/>
          <w:szCs w:val="24"/>
        </w:rPr>
        <w:t>三、服务</w:t>
      </w:r>
      <w:r>
        <w:rPr>
          <w:rFonts w:hint="eastAsia" w:asciiTheme="minorEastAsia" w:hAnsiTheme="minorEastAsia"/>
          <w:b/>
          <w:bCs/>
          <w:sz w:val="24"/>
          <w:szCs w:val="24"/>
          <w:lang w:eastAsia="zh-CN"/>
        </w:rPr>
        <w:t>及</w:t>
      </w:r>
      <w:r>
        <w:rPr>
          <w:rFonts w:hint="eastAsia" w:asciiTheme="minorEastAsia" w:hAnsiTheme="minorEastAsia"/>
          <w:b/>
          <w:bCs/>
          <w:sz w:val="24"/>
          <w:szCs w:val="24"/>
        </w:rPr>
        <w:t>商务要求</w:t>
      </w:r>
    </w:p>
    <w:p>
      <w:pPr>
        <w:spacing w:line="360" w:lineRule="auto"/>
        <w:ind w:firstLine="480" w:firstLineChars="200"/>
        <w:jc w:val="left"/>
        <w:rPr>
          <w:rFonts w:ascii="宋体" w:hAnsi="宋体" w:cs="宋体"/>
          <w:sz w:val="24"/>
        </w:rPr>
      </w:pPr>
      <w:r>
        <w:rPr>
          <w:rFonts w:hint="eastAsia" w:ascii="宋体" w:hAnsi="宋体" w:cs="宋体"/>
          <w:sz w:val="24"/>
        </w:rPr>
        <w:t>1、服务期限：1年</w:t>
      </w:r>
    </w:p>
    <w:p>
      <w:pPr>
        <w:spacing w:line="360" w:lineRule="auto"/>
        <w:ind w:firstLine="480" w:firstLineChars="200"/>
        <w:jc w:val="left"/>
        <w:rPr>
          <w:rFonts w:hint="eastAsia" w:ascii="宋体" w:hAnsi="宋体" w:cs="宋体"/>
          <w:sz w:val="24"/>
        </w:rPr>
      </w:pPr>
      <w:r>
        <w:rPr>
          <w:rFonts w:hint="eastAsia" w:ascii="宋体" w:hAnsi="宋体" w:cs="宋体"/>
          <w:sz w:val="24"/>
        </w:rPr>
        <w:t>2、交货地点：医院指定地点。</w:t>
      </w:r>
    </w:p>
    <w:p>
      <w:pPr>
        <w:spacing w:line="360" w:lineRule="auto"/>
        <w:ind w:firstLine="480" w:firstLineChars="200"/>
        <w:jc w:val="left"/>
        <w:rPr>
          <w:rFonts w:hint="eastAsia" w:ascii="宋体" w:hAnsi="宋体" w:cs="宋体"/>
          <w:b/>
          <w:bCs/>
          <w:sz w:val="24"/>
        </w:rPr>
      </w:pPr>
      <w:r>
        <w:rPr>
          <w:rFonts w:hint="eastAsia" w:ascii="宋体" w:hAnsi="宋体" w:cs="宋体"/>
          <w:sz w:val="24"/>
        </w:rPr>
        <w:t>3、付款方式：成交供应商按采购人需求按时将采购货物配送完成，按批次提供配送清单和当批次检测报告、验收凭证，以及与其金额相等、合法有效的全额正式发票给采购人，采购人确认无误后，于次月起30个工作日内按配送清单数量支付该批次货物的费用，所有款项转账支付。</w:t>
      </w:r>
    </w:p>
    <w:p>
      <w:pPr>
        <w:spacing w:line="360" w:lineRule="auto"/>
        <w:ind w:firstLine="480" w:firstLineChars="200"/>
        <w:jc w:val="left"/>
        <w:rPr>
          <w:rFonts w:ascii="宋体" w:hAnsi="宋体" w:cs="宋体"/>
          <w:sz w:val="24"/>
        </w:rPr>
      </w:pPr>
      <w:r>
        <w:rPr>
          <w:rFonts w:hint="eastAsia" w:ascii="宋体" w:hAnsi="宋体" w:cs="宋体"/>
          <w:sz w:val="24"/>
        </w:rPr>
        <w:t>4、交货时间：合同签订后，以采购人实际需求通知为准，供应商72小时内完成送货，每批次质检报告必须随货送到。</w:t>
      </w:r>
    </w:p>
    <w:p>
      <w:pPr>
        <w:spacing w:line="360" w:lineRule="auto"/>
        <w:ind w:firstLine="480" w:firstLineChars="200"/>
        <w:jc w:val="left"/>
        <w:rPr>
          <w:rFonts w:ascii="宋体" w:hAnsi="宋体" w:cs="宋体"/>
          <w:sz w:val="24"/>
        </w:rPr>
      </w:pPr>
      <w:r>
        <w:rPr>
          <w:rFonts w:hint="eastAsia" w:ascii="宋体" w:hAnsi="宋体" w:cs="宋体"/>
          <w:sz w:val="24"/>
        </w:rPr>
        <w:t>5、验收标准：采购人与成交供应商应严格按照《财政部关于进一步加强政府采购需求和履约验收管理的指导意见》（财库〔2016〕205号）以及采购文件的质量要求和技术指标、供应商的响应文件及承诺与本合同约定标准的要求进行验收。</w:t>
      </w:r>
    </w:p>
    <w:p>
      <w:pPr>
        <w:spacing w:line="360" w:lineRule="auto"/>
        <w:ind w:firstLine="480" w:firstLineChars="200"/>
        <w:jc w:val="left"/>
        <w:rPr>
          <w:rFonts w:ascii="宋体" w:hAnsi="宋体" w:cs="宋体"/>
          <w:sz w:val="24"/>
        </w:rPr>
      </w:pPr>
      <w:r>
        <w:rPr>
          <w:rFonts w:hint="eastAsia" w:ascii="宋体" w:hAnsi="宋体" w:cs="宋体"/>
          <w:sz w:val="24"/>
        </w:rPr>
        <w:t>6、供应商提供的货物非陈货，剩余有效期不低于总有效期的三分之二。成交供应商须承诺在签订合同前提供所有产品在有效期内相应的授权书和相关注册证明文件（提供相关承诺函，格式自拟），否则视为虚假响应，采购人有权拒绝签订合同并汇报同级财政部门处理；若在合同期间成交供应商所提供产品的授权结束，采购人有权在其他供应商处采购。</w:t>
      </w:r>
    </w:p>
    <w:p>
      <w:pPr>
        <w:spacing w:line="360" w:lineRule="auto"/>
        <w:ind w:firstLine="480" w:firstLineChars="200"/>
        <w:jc w:val="left"/>
        <w:rPr>
          <w:rFonts w:ascii="宋体" w:hAnsi="宋体" w:cs="宋体"/>
          <w:sz w:val="24"/>
        </w:rPr>
      </w:pPr>
      <w:r>
        <w:rPr>
          <w:rFonts w:hint="eastAsia" w:ascii="宋体" w:hAnsi="宋体" w:cs="宋体"/>
          <w:sz w:val="24"/>
        </w:rPr>
        <w:t>7、验收时如发现所交付的货物有短装、次品、损坏、污染、污垢或其他不符合国家或行业标准之情形者，采购人有权拒绝收货，并视作供应商不能及时交付货物，若发生2次，采购人有权随时解除合同。</w:t>
      </w:r>
    </w:p>
    <w:p>
      <w:pPr>
        <w:spacing w:line="360" w:lineRule="auto"/>
        <w:ind w:firstLine="480" w:firstLineChars="200"/>
        <w:jc w:val="left"/>
        <w:rPr>
          <w:rFonts w:ascii="宋体" w:hAnsi="宋体" w:cs="宋体"/>
          <w:sz w:val="24"/>
        </w:rPr>
      </w:pPr>
      <w:r>
        <w:rPr>
          <w:rFonts w:hint="eastAsia" w:ascii="宋体" w:hAnsi="宋体" w:cs="宋体"/>
          <w:sz w:val="24"/>
        </w:rPr>
        <w:t>8、成交供应商提供的货物因临床使用中出现服务对象月度不满意超过3例的，采购人可以单方面解除合同；如造成食品安全问题的，由成交供应商负全部责任，并赔偿采购人全部经济损失，采购人有权随时解除合同。</w:t>
      </w:r>
    </w:p>
    <w:p>
      <w:pPr>
        <w:spacing w:line="360" w:lineRule="auto"/>
        <w:ind w:firstLine="480" w:firstLineChars="200"/>
        <w:jc w:val="left"/>
        <w:rPr>
          <w:rFonts w:ascii="宋体" w:hAnsi="宋体" w:cs="宋体"/>
          <w:sz w:val="24"/>
        </w:rPr>
      </w:pPr>
      <w:r>
        <w:rPr>
          <w:rFonts w:hint="eastAsia" w:ascii="宋体" w:hAnsi="宋体" w:cs="宋体"/>
          <w:sz w:val="24"/>
        </w:rPr>
        <w:t>9、配送的产品名称、规格、包装、组成成分等须与响应产品内容信息完全一致。</w:t>
      </w:r>
    </w:p>
    <w:p>
      <w:pPr>
        <w:spacing w:line="360" w:lineRule="auto"/>
        <w:ind w:firstLine="480" w:firstLineChars="200"/>
        <w:jc w:val="left"/>
        <w:rPr>
          <w:rFonts w:ascii="宋体" w:hAnsi="宋体" w:cs="宋体"/>
          <w:sz w:val="24"/>
        </w:rPr>
      </w:pPr>
      <w:r>
        <w:rPr>
          <w:rFonts w:hint="eastAsia" w:ascii="宋体" w:hAnsi="宋体" w:cs="宋体"/>
          <w:sz w:val="24"/>
        </w:rPr>
        <w:t>10、成交供应商须提供7*24小时技术援助电话，解答用户在使用中遇到的问题，及时提出解决冋题的建议和操作方法。</w:t>
      </w:r>
    </w:p>
    <w:p>
      <w:pPr>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五、供应商资格要求及证明材料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p>
    <w:p>
      <w:pPr>
        <w:spacing w:line="360" w:lineRule="auto"/>
        <w:ind w:firstLine="480" w:firstLineChars="200"/>
        <w:rPr>
          <w:rFonts w:ascii="宋体" w:hAnsi="宋体"/>
          <w:sz w:val="24"/>
        </w:rPr>
      </w:pPr>
      <w:r>
        <w:rPr>
          <w:rFonts w:hint="eastAsia" w:ascii="宋体" w:hAnsi="宋体"/>
          <w:sz w:val="24"/>
        </w:rPr>
        <w:t>（1）若</w:t>
      </w:r>
      <w:r>
        <w:rPr>
          <w:rFonts w:ascii="宋体" w:hAnsi="宋体"/>
          <w:sz w:val="24"/>
        </w:rPr>
        <w:t>比选申请人</w:t>
      </w:r>
      <w:r>
        <w:rPr>
          <w:rFonts w:hint="eastAsia" w:ascii="宋体" w:hAnsi="宋体"/>
          <w:sz w:val="24"/>
        </w:rPr>
        <w:t>为</w:t>
      </w:r>
      <w:r>
        <w:rPr>
          <w:rFonts w:ascii="宋体" w:hAnsi="宋体"/>
          <w:sz w:val="24"/>
        </w:rPr>
        <w:t>生产厂家，须</w:t>
      </w:r>
      <w:r>
        <w:rPr>
          <w:rFonts w:hint="eastAsia" w:ascii="宋体" w:hAnsi="宋体"/>
          <w:sz w:val="24"/>
        </w:rPr>
        <w:t>具备</w:t>
      </w:r>
      <w:r>
        <w:rPr>
          <w:rFonts w:ascii="宋体" w:hAnsi="宋体"/>
          <w:sz w:val="24"/>
        </w:rPr>
        <w:t>有效的</w:t>
      </w:r>
      <w:r>
        <w:rPr>
          <w:rFonts w:hint="eastAsia" w:ascii="宋体" w:hAnsi="宋体"/>
          <w:sz w:val="24"/>
        </w:rPr>
        <w:t>《食品生产许可证》《食品经营许可证》。</w:t>
      </w:r>
    </w:p>
    <w:p>
      <w:pPr>
        <w:pStyle w:val="2"/>
        <w:ind w:firstLine="480" w:firstLineChars="200"/>
        <w:rPr>
          <w:lang w:val="zh-CN"/>
        </w:rPr>
      </w:pPr>
      <w:r>
        <w:rPr>
          <w:rFonts w:hint="eastAsia" w:ascii="宋体" w:hAnsi="宋体"/>
          <w:sz w:val="24"/>
        </w:rPr>
        <w:t>（2）若</w:t>
      </w:r>
      <w:r>
        <w:rPr>
          <w:rFonts w:ascii="宋体" w:hAnsi="宋体"/>
          <w:sz w:val="24"/>
        </w:rPr>
        <w:t>比选申请人为经销商，须具备有效的</w:t>
      </w:r>
      <w:r>
        <w:rPr>
          <w:rFonts w:hint="eastAsia" w:ascii="宋体" w:hAnsi="宋体"/>
          <w:sz w:val="24"/>
        </w:rPr>
        <w:t>《食品经营许可证》，</w:t>
      </w:r>
      <w:r>
        <w:rPr>
          <w:rFonts w:ascii="宋体" w:hAnsi="宋体"/>
          <w:sz w:val="24"/>
        </w:rPr>
        <w:t>并提供所投产品生产厂家</w:t>
      </w:r>
      <w:r>
        <w:rPr>
          <w:rFonts w:hint="eastAsia" w:ascii="宋体" w:hAnsi="宋体"/>
          <w:sz w:val="24"/>
        </w:rPr>
        <w:t>有效的《食品生产许可证》。</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rPr>
        <w:t>六、响应文件要求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rPr>
        <w:t>七</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1.递交响应文件截止时间：2022年</w:t>
      </w:r>
      <w:r>
        <w:rPr>
          <w:rFonts w:hint="eastAsia" w:cs="宋体-18030" w:asciiTheme="minorEastAsia" w:hAnsiTheme="minorEastAsia"/>
          <w:kern w:val="0"/>
          <w:sz w:val="24"/>
          <w:lang w:val="en-US" w:eastAsia="zh-CN"/>
        </w:rPr>
        <w:t>11</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11</w:t>
      </w:r>
      <w:bookmarkStart w:id="1" w:name="_GoBack"/>
      <w:bookmarkEnd w:id="1"/>
      <w:r>
        <w:rPr>
          <w:rFonts w:hint="eastAsia" w:cs="宋体-18030" w:asciiTheme="minorEastAsia" w:hAnsiTheme="minorEastAsia"/>
          <w:kern w:val="0"/>
          <w:sz w:val="24"/>
        </w:rPr>
        <w:t>日11:00（北京时间）。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Fonts w:cs="宋体-18030" w:asciiTheme="minorEastAsia" w:hAnsiTheme="minorEastAsia"/>
          <w:b w:val="0"/>
          <w:bCs w:val="0"/>
          <w:color w:val="auto"/>
          <w:kern w:val="0"/>
          <w:sz w:val="24"/>
        </w:rPr>
      </w:pPr>
      <w:r>
        <w:rPr>
          <w:rFonts w:hint="eastAsia" w:cs="宋体-18030" w:asciiTheme="minorEastAsia" w:hAnsiTheme="minorEastAsia"/>
          <w:b w:val="0"/>
          <w:bCs w:val="0"/>
          <w:color w:val="auto"/>
          <w:kern w:val="0"/>
          <w:sz w:val="24"/>
        </w:rPr>
        <w:t>3.逾期送达或者未送达指定地点的响应文件，采购人不予受理。</w:t>
      </w:r>
    </w:p>
    <w:p>
      <w:pPr>
        <w:pStyle w:val="6"/>
        <w:spacing w:line="360" w:lineRule="auto"/>
        <w:rPr>
          <w:rStyle w:val="19"/>
          <w:b w:val="0"/>
          <w:bCs w:val="0"/>
          <w:color w:val="auto"/>
          <w:szCs w:val="22"/>
          <w:shd w:val="clear" w:color="auto" w:fill="FFFFFF"/>
        </w:rPr>
      </w:pPr>
      <w:r>
        <w:rPr>
          <w:rFonts w:hint="eastAsia" w:asciiTheme="minorEastAsia" w:hAnsiTheme="minorEastAsia" w:cstheme="minorEastAsia"/>
          <w:b/>
          <w:bCs/>
          <w:color w:val="C00000"/>
          <w:sz w:val="24"/>
          <w:shd w:val="clear" w:color="auto" w:fill="FFFFFF"/>
        </w:rPr>
        <w:t>特别提示：</w:t>
      </w:r>
      <w:r>
        <w:rPr>
          <w:rFonts w:hint="eastAsia" w:asciiTheme="minorEastAsia" w:hAnsiTheme="minorEastAsia" w:cstheme="minorEastAsia"/>
          <w:b w:val="0"/>
          <w:bCs w:val="0"/>
          <w:color w:val="C00000"/>
          <w:sz w:val="24"/>
          <w:shd w:val="clear" w:color="auto" w:fill="FFFFFF"/>
        </w:rPr>
        <w:t> </w:t>
      </w:r>
      <w:r>
        <w:rPr>
          <w:rStyle w:val="19"/>
          <w:rFonts w:hint="eastAsia" w:asciiTheme="minorEastAsia" w:hAnsiTheme="minorEastAsia" w:cstheme="minorEastAsia"/>
          <w:b w:val="0"/>
          <w:bCs w:val="0"/>
          <w:color w:val="C00000"/>
          <w:sz w:val="24"/>
          <w:shd w:val="clear" w:color="auto" w:fill="FFFFFF"/>
        </w:rPr>
        <w:t>因新冠疫情防控需要，</w:t>
      </w:r>
      <w:r>
        <w:rPr>
          <w:rStyle w:val="19"/>
          <w:rFonts w:hint="eastAsia" w:asciiTheme="minorEastAsia" w:hAnsiTheme="minorEastAsia" w:cstheme="minorEastAsia"/>
          <w:b w:val="0"/>
          <w:bCs w:val="0"/>
          <w:color w:val="C00000"/>
          <w:sz w:val="24"/>
          <w:szCs w:val="22"/>
          <w:shd w:val="clear" w:color="auto" w:fill="FFFFFF"/>
        </w:rPr>
        <w:t>供应商代表到现场递交响应文件</w:t>
      </w:r>
      <w:r>
        <w:rPr>
          <w:rStyle w:val="19"/>
          <w:rFonts w:hint="eastAsia" w:asciiTheme="minorEastAsia" w:hAnsiTheme="minorEastAsia" w:cstheme="minorEastAsia"/>
          <w:b w:val="0"/>
          <w:bCs w:val="0"/>
          <w:color w:val="C00000"/>
          <w:sz w:val="24"/>
          <w:shd w:val="clear" w:color="auto" w:fill="FFFFFF"/>
        </w:rPr>
        <w:t>，</w:t>
      </w:r>
      <w:r>
        <w:rPr>
          <w:rStyle w:val="19"/>
          <w:rFonts w:hint="eastAsia" w:asciiTheme="minorEastAsia" w:hAnsiTheme="minorEastAsia" w:cstheme="minorEastAsia"/>
          <w:b w:val="0"/>
          <w:bCs w:val="0"/>
          <w:color w:val="C00000"/>
          <w:sz w:val="24"/>
          <w:szCs w:val="22"/>
          <w:shd w:val="clear" w:color="auto" w:fill="FFFFFF"/>
        </w:rPr>
        <w:t>需提供绿色健康码、24小时内核酸检查阴性结果、行程码等证明，否则采购人不予接待，所造成的一切后果由供应商全部承担。</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rPr>
        <w:t>八、联系方式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 xml:space="preserve">联系人：罗老师 </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联系电话：028-26346672</w:t>
      </w:r>
    </w:p>
    <w:p>
      <w:pPr>
        <w:spacing w:line="360" w:lineRule="auto"/>
        <w:rPr>
          <w:rFonts w:cs="宋体-18030" w:asciiTheme="minorEastAsia" w:hAnsiTheme="minorEastAsia"/>
          <w:b/>
          <w:kern w:val="0"/>
          <w:sz w:val="24"/>
          <w:lang w:val="zh-CN"/>
        </w:rPr>
      </w:pP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九、</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211"/>
        <w:gridCol w:w="1473"/>
        <w:gridCol w:w="147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1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297" w:type="pct"/>
            <w:vAlign w:val="center"/>
          </w:tcPr>
          <w:p>
            <w:pPr>
              <w:spacing w:line="24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864" w:type="pct"/>
            <w:vAlign w:val="center"/>
          </w:tcPr>
          <w:p>
            <w:pPr>
              <w:spacing w:line="240" w:lineRule="auto"/>
              <w:jc w:val="center"/>
              <w:rPr>
                <w:rFonts w:hint="default" w:cs="宋体-18030" w:asciiTheme="minorEastAsia" w:hAnsiTheme="minorEastAsia"/>
                <w:kern w:val="0"/>
                <w:sz w:val="24"/>
                <w:lang w:val="en-US" w:eastAsia="zh-CN"/>
              </w:rPr>
            </w:pPr>
            <w:r>
              <w:rPr>
                <w:rFonts w:hint="eastAsia" w:cs="宋体-18030" w:asciiTheme="minorEastAsia" w:hAnsiTheme="minorEastAsia"/>
                <w:kern w:val="0"/>
                <w:sz w:val="24"/>
                <w:lang w:val="zh-CN" w:eastAsia="zh-CN"/>
              </w:rPr>
              <w:t>计价单位（</w:t>
            </w:r>
            <w:r>
              <w:rPr>
                <w:rFonts w:hint="eastAsia" w:cs="宋体-18030" w:asciiTheme="minorEastAsia" w:hAnsiTheme="minorEastAsia"/>
                <w:kern w:val="0"/>
                <w:sz w:val="24"/>
                <w:lang w:val="zh-CN"/>
              </w:rPr>
              <w:t>100ml</w:t>
            </w:r>
            <w:r>
              <w:rPr>
                <w:rFonts w:hint="eastAsia" w:cs="宋体-18030" w:asciiTheme="minorEastAsia" w:hAnsiTheme="minorEastAsia"/>
                <w:kern w:val="0"/>
                <w:sz w:val="24"/>
                <w:lang w:val="zh-CN" w:eastAsia="zh-CN"/>
              </w:rPr>
              <w:t>或</w:t>
            </w:r>
            <w:r>
              <w:rPr>
                <w:rFonts w:hint="eastAsia" w:cs="宋体-18030" w:asciiTheme="minorEastAsia" w:hAnsiTheme="minorEastAsia"/>
                <w:kern w:val="0"/>
                <w:sz w:val="24"/>
                <w:lang w:val="en-US" w:eastAsia="zh-CN"/>
              </w:rPr>
              <w:t>100克</w:t>
            </w:r>
            <w:r>
              <w:rPr>
                <w:rFonts w:hint="eastAsia" w:cs="宋体-18030" w:asciiTheme="minorEastAsia" w:hAnsiTheme="minorEastAsia"/>
                <w:kern w:val="0"/>
                <w:sz w:val="24"/>
                <w:lang w:val="zh-CN" w:eastAsia="zh-CN"/>
              </w:rPr>
              <w:t>）</w:t>
            </w:r>
          </w:p>
        </w:tc>
        <w:tc>
          <w:tcPr>
            <w:tcW w:w="864" w:type="pct"/>
            <w:vAlign w:val="center"/>
          </w:tcPr>
          <w:p>
            <w:pPr>
              <w:spacing w:line="24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957" w:type="pct"/>
            <w:vAlign w:val="center"/>
          </w:tcPr>
          <w:p>
            <w:pPr>
              <w:spacing w:line="24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spacing w:line="360" w:lineRule="auto"/>
              <w:jc w:val="center"/>
              <w:rPr>
                <w:rFonts w:cs="宋体-18030" w:asciiTheme="minorEastAsia" w:hAnsiTheme="minorEastAsia"/>
                <w:kern w:val="0"/>
                <w:sz w:val="24"/>
                <w:lang w:val="zh-CN"/>
              </w:rPr>
            </w:pPr>
          </w:p>
        </w:tc>
        <w:tc>
          <w:tcPr>
            <w:tcW w:w="1297"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9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spacing w:line="360" w:lineRule="auto"/>
              <w:jc w:val="center"/>
              <w:rPr>
                <w:rFonts w:cs="宋体-18030" w:asciiTheme="minorEastAsia" w:hAnsiTheme="minorEastAsia"/>
                <w:kern w:val="0"/>
                <w:sz w:val="24"/>
                <w:lang w:val="zh-CN"/>
              </w:rPr>
            </w:pPr>
          </w:p>
        </w:tc>
        <w:tc>
          <w:tcPr>
            <w:tcW w:w="1297"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9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spacing w:line="360" w:lineRule="auto"/>
              <w:jc w:val="center"/>
              <w:rPr>
                <w:rFonts w:cs="宋体-18030" w:asciiTheme="minorEastAsia" w:hAnsiTheme="minorEastAsia"/>
                <w:kern w:val="0"/>
                <w:sz w:val="24"/>
                <w:lang w:val="zh-CN"/>
              </w:rPr>
            </w:pPr>
          </w:p>
        </w:tc>
        <w:tc>
          <w:tcPr>
            <w:tcW w:w="1297"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9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spacing w:line="360" w:lineRule="auto"/>
              <w:jc w:val="center"/>
              <w:rPr>
                <w:rFonts w:cs="宋体-18030" w:asciiTheme="minorEastAsia" w:hAnsiTheme="minorEastAsia"/>
                <w:kern w:val="0"/>
                <w:sz w:val="24"/>
                <w:lang w:val="zh-CN"/>
              </w:rPr>
            </w:pPr>
          </w:p>
        </w:tc>
        <w:tc>
          <w:tcPr>
            <w:tcW w:w="1297"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9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297"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957"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1297"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957" w:type="pct"/>
            <w:vAlign w:val="center"/>
          </w:tcPr>
          <w:p>
            <w:pPr>
              <w:spacing w:line="360" w:lineRule="auto"/>
              <w:jc w:val="center"/>
              <w:rPr>
                <w:rFonts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 xml:space="preserve"> </w:t>
      </w:r>
    </w:p>
    <w:p>
      <w:pPr>
        <w:spacing w:line="360" w:lineRule="auto"/>
        <w:ind w:firstLine="4800" w:firstLineChars="20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rFonts w:hint="eastAsia"/>
          <w:b/>
          <w:sz w:val="28"/>
        </w:rPr>
      </w:pPr>
    </w:p>
    <w:p>
      <w:pPr>
        <w:rPr>
          <w:rFonts w:hint="eastAsia"/>
          <w:b/>
          <w:sz w:val="28"/>
        </w:rPr>
      </w:pPr>
    </w:p>
    <w:p>
      <w:pPr>
        <w:rPr>
          <w:rFonts w:hint="eastAsia"/>
          <w:b/>
          <w:sz w:val="28"/>
        </w:rPr>
      </w:pPr>
    </w:p>
    <w:p>
      <w:pPr>
        <w:rPr>
          <w:rFonts w:hint="eastAsia"/>
          <w:b/>
          <w:sz w:val="28"/>
        </w:rPr>
      </w:pPr>
    </w:p>
    <w:p>
      <w:pPr>
        <w:rPr>
          <w:rFonts w:hint="eastAsia"/>
          <w:b/>
          <w:sz w:val="28"/>
        </w:rPr>
      </w:pPr>
    </w:p>
    <w:p>
      <w:pPr>
        <w:rPr>
          <w:rFonts w:hint="eastAsia"/>
          <w:b/>
          <w:sz w:val="28"/>
        </w:rPr>
      </w:pP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6"/>
      </w:pPr>
    </w:p>
    <w:p>
      <w:pPr>
        <w:pStyle w:val="25"/>
        <w:ind w:firstLine="480"/>
        <w:rPr>
          <w:rFonts w:ascii="宋体" w:hAnsi="宋体"/>
        </w:rPr>
      </w:pPr>
      <w:r>
        <w:rPr>
          <w:rFonts w:hint="eastAsia" w:ascii="宋体" w:hAnsi="宋体"/>
        </w:rPr>
        <w:t>合同编号：</w:t>
      </w:r>
    </w:p>
    <w:p>
      <w:pPr>
        <w:pStyle w:val="25"/>
        <w:ind w:firstLine="480"/>
        <w:rPr>
          <w:rFonts w:ascii="宋体" w:hAnsi="宋体"/>
        </w:rPr>
      </w:pPr>
      <w:r>
        <w:rPr>
          <w:rFonts w:hint="eastAsia" w:ascii="宋体" w:hAnsi="宋体"/>
        </w:rPr>
        <w:t>签订地点：</w:t>
      </w:r>
      <w:r>
        <w:rPr>
          <w:rFonts w:ascii="宋体" w:hAnsi="宋体"/>
        </w:rPr>
        <w:t>资阳市雁江区人民医院</w:t>
      </w:r>
    </w:p>
    <w:p>
      <w:pPr>
        <w:pStyle w:val="25"/>
        <w:ind w:firstLine="480"/>
        <w:rPr>
          <w:rFonts w:ascii="宋体" w:hAnsi="宋体"/>
          <w:color w:val="000000"/>
        </w:rPr>
      </w:pPr>
      <w:r>
        <w:rPr>
          <w:rFonts w:hint="eastAsia" w:ascii="宋体" w:hAnsi="宋体"/>
          <w:color w:val="000000"/>
        </w:rPr>
        <w:t>签订时间：2022年   月   日</w:t>
      </w:r>
    </w:p>
    <w:p>
      <w:pPr>
        <w:pStyle w:val="25"/>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5"/>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4"/>
        <w:gridCol w:w="1497"/>
        <w:gridCol w:w="1134"/>
        <w:gridCol w:w="1530"/>
        <w:gridCol w:w="1506"/>
        <w:gridCol w:w="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66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897" w:type="pct"/>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883" w:type="pct"/>
            <w:tcBorders>
              <w:top w:val="single" w:color="auto" w:sz="4" w:space="0"/>
              <w:left w:val="single" w:color="auto" w:sz="4" w:space="0"/>
              <w:bottom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default" w:ascii="宋体" w:hAnsi="宋体" w:eastAsia="宋体" w:cs="宋体"/>
                <w:lang w:val="en-US" w:eastAsia="zh-CN"/>
              </w:rPr>
            </w:pPr>
            <w:r>
              <w:rPr>
                <w:rFonts w:hint="eastAsia" w:ascii="宋体" w:hAnsi="宋体" w:eastAsia="宋体" w:cs="宋体"/>
                <w:lang w:val="en-US" w:eastAsia="zh-CN"/>
              </w:rPr>
              <w:t>.....</w:t>
            </w:r>
          </w:p>
        </w:tc>
        <w:tc>
          <w:tcPr>
            <w:tcW w:w="8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878"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665"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97"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883"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456"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4"/>
        <w:spacing w:line="400" w:lineRule="exact"/>
        <w:ind w:firstLine="480"/>
        <w:rPr>
          <w:color w:val="000000"/>
          <w:sz w:val="24"/>
        </w:rPr>
      </w:pPr>
      <w:r>
        <w:rPr>
          <w:rFonts w:hint="eastAsia"/>
          <w:color w:val="000000"/>
          <w:sz w:val="24"/>
        </w:rPr>
        <w:t>本项目为单价报价形式，供货期限为365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5"/>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5"/>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5"/>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5"/>
        <w:ind w:firstLine="480"/>
        <w:rPr>
          <w:rFonts w:ascii="宋体" w:hAnsi="宋体"/>
          <w:color w:val="000000"/>
        </w:rPr>
      </w:pPr>
      <w:r>
        <w:rPr>
          <w:rFonts w:hint="eastAsia" w:ascii="宋体" w:hAnsi="宋体"/>
          <w:color w:val="000000"/>
        </w:rPr>
        <w:t>1.合同签订后365日内，按采购人供货计划分批次完成，接到送货通知后48小时内送货到指定地点，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5"/>
        <w:ind w:firstLine="480"/>
        <w:rPr>
          <w:rFonts w:ascii="宋体" w:hAnsi="宋体"/>
          <w:color w:val="000000"/>
        </w:rPr>
      </w:pPr>
      <w:r>
        <w:rPr>
          <w:rFonts w:hint="eastAsia" w:ascii="宋体" w:hAnsi="宋体"/>
          <w:color w:val="000000"/>
        </w:rPr>
        <w:t>2.验收由甲方组织，乙方配合进行：</w:t>
      </w:r>
    </w:p>
    <w:p>
      <w:pPr>
        <w:pStyle w:val="25"/>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5"/>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5"/>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5"/>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pPr>
        <w:pStyle w:val="25"/>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5"/>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5"/>
        <w:ind w:firstLine="480"/>
        <w:rPr>
          <w:rFonts w:ascii="宋体" w:hAnsi="宋体"/>
          <w:color w:val="000000"/>
        </w:rPr>
      </w:pPr>
      <w:r>
        <w:rPr>
          <w:rFonts w:hint="eastAsia" w:ascii="宋体" w:hAnsi="宋体"/>
          <w:color w:val="000000"/>
        </w:rPr>
        <w:t>1.每批次货物到达交货地点验收合格后30个工作日内转账支付相应批次100%的货款（如产品出现质量问题则支付期相应顺延）；</w:t>
      </w:r>
    </w:p>
    <w:p>
      <w:pPr>
        <w:pStyle w:val="25"/>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5"/>
        <w:ind w:firstLine="482"/>
        <w:rPr>
          <w:rFonts w:ascii="黑体"/>
          <w:b/>
        </w:rPr>
      </w:pPr>
      <w:r>
        <w:rPr>
          <w:rFonts w:hint="eastAsia" w:ascii="黑体"/>
          <w:b/>
        </w:rPr>
        <w:t>六、售后服务</w:t>
      </w:r>
    </w:p>
    <w:p>
      <w:pPr>
        <w:pStyle w:val="25"/>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5"/>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5"/>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5"/>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5"/>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5"/>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5"/>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5"/>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5"/>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5"/>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5"/>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5"/>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5"/>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21"/>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6"/>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14"/>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dmMDMwNGEwOGYzYzJlZmQ0YTBhZWRjYTA0YzIxNzU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A2B0C77"/>
    <w:rsid w:val="0B7625FD"/>
    <w:rsid w:val="14876F4E"/>
    <w:rsid w:val="151B3CF1"/>
    <w:rsid w:val="156C442B"/>
    <w:rsid w:val="164A3328"/>
    <w:rsid w:val="18934843"/>
    <w:rsid w:val="1B541E5E"/>
    <w:rsid w:val="1CE86C7E"/>
    <w:rsid w:val="1E7A4D5D"/>
    <w:rsid w:val="1F281065"/>
    <w:rsid w:val="2A3D587C"/>
    <w:rsid w:val="342C36FD"/>
    <w:rsid w:val="361D455A"/>
    <w:rsid w:val="3C9E34DC"/>
    <w:rsid w:val="3FF0557C"/>
    <w:rsid w:val="4244401A"/>
    <w:rsid w:val="4E023FB5"/>
    <w:rsid w:val="505676E2"/>
    <w:rsid w:val="50863A39"/>
    <w:rsid w:val="555B6681"/>
    <w:rsid w:val="58CA6D6C"/>
    <w:rsid w:val="590F06B1"/>
    <w:rsid w:val="62705B39"/>
    <w:rsid w:val="6639773D"/>
    <w:rsid w:val="66F0488D"/>
    <w:rsid w:val="6BC74FC2"/>
    <w:rsid w:val="6FB6011E"/>
    <w:rsid w:val="6FE06880"/>
    <w:rsid w:val="70115646"/>
    <w:rsid w:val="733D427B"/>
    <w:rsid w:val="74CB3468"/>
    <w:rsid w:val="79E14D78"/>
    <w:rsid w:val="7BB67E73"/>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jc w:val="both"/>
      <w:textAlignment w:val="baseline"/>
    </w:pPr>
    <w:rPr>
      <w:kern w:val="2"/>
      <w:sz w:val="24"/>
      <w:szCs w:val="24"/>
      <w:lang w:val="en-US" w:eastAsia="zh-CN" w:bidi="ar-SA"/>
    </w:rPr>
  </w:style>
  <w:style w:type="paragraph" w:customStyle="1" w:styleId="3">
    <w:name w:val="UserStyle_2"/>
    <w:next w:val="1"/>
    <w:qFormat/>
    <w:uiPriority w:val="0"/>
    <w:pPr>
      <w:textAlignment w:val="baseline"/>
    </w:pPr>
    <w:rPr>
      <w:rFonts w:ascii="楷体à.ā" w:hAnsi="Calibri" w:eastAsia="楷体à.ā" w:cs="Times New Roman"/>
      <w:color w:val="000000"/>
      <w:sz w:val="24"/>
      <w:lang w:val="en-US" w:eastAsia="zh-CN" w:bidi="ar-SA"/>
    </w:rPr>
  </w:style>
  <w:style w:type="paragraph" w:styleId="4">
    <w:name w:val="Normal Indent"/>
    <w:basedOn w:val="1"/>
    <w:link w:val="23"/>
    <w:qFormat/>
    <w:uiPriority w:val="0"/>
    <w:pPr>
      <w:ind w:firstLine="420" w:firstLineChars="200"/>
    </w:pPr>
    <w:rPr>
      <w:rFonts w:ascii="Times New Roman" w:hAnsi="Times New Roman" w:eastAsia="宋体" w:cs="Times New Roman"/>
      <w:szCs w:val="24"/>
    </w:rPr>
  </w:style>
  <w:style w:type="paragraph" w:styleId="5">
    <w:name w:val="annotation text"/>
    <w:basedOn w:val="1"/>
    <w:link w:val="28"/>
    <w:semiHidden/>
    <w:unhideWhenUsed/>
    <w:qFormat/>
    <w:uiPriority w:val="99"/>
    <w:pPr>
      <w:jc w:val="left"/>
    </w:pPr>
  </w:style>
  <w:style w:type="paragraph" w:styleId="6">
    <w:name w:val="Body Text"/>
    <w:basedOn w:val="1"/>
    <w:next w:val="7"/>
    <w:link w:val="26"/>
    <w:qFormat/>
    <w:uiPriority w:val="99"/>
    <w:pPr>
      <w:spacing w:after="120"/>
    </w:pPr>
    <w:rPr>
      <w:szCs w:val="24"/>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qFormat/>
    <w:uiPriority w:val="0"/>
    <w:pPr>
      <w:spacing w:line="480" w:lineRule="auto"/>
      <w:ind w:firstLine="600"/>
    </w:pPr>
    <w:rPr>
      <w:sz w:val="28"/>
    </w:rPr>
  </w:style>
  <w:style w:type="paragraph" w:styleId="9">
    <w:name w:val="Plain Text"/>
    <w:basedOn w:val="1"/>
    <w:qFormat/>
    <w:uiPriority w:val="0"/>
    <w:pPr>
      <w:spacing w:line="360" w:lineRule="auto"/>
    </w:pPr>
    <w:rPr>
      <w:rFonts w:ascii="宋体" w:hAnsi="Courier New"/>
      <w:sz w:val="24"/>
    </w:rPr>
  </w:style>
  <w:style w:type="paragraph" w:styleId="10">
    <w:name w:val="Balloon Text"/>
    <w:basedOn w:val="1"/>
    <w:link w:val="22"/>
    <w:semiHidden/>
    <w:unhideWhenUsed/>
    <w:qFormat/>
    <w:uiPriority w:val="99"/>
    <w:rPr>
      <w:sz w:val="18"/>
      <w:szCs w:val="18"/>
    </w:rPr>
  </w:style>
  <w:style w:type="paragraph" w:styleId="11">
    <w:name w:val="footer"/>
    <w:basedOn w:val="1"/>
    <w:link w:val="33"/>
    <w:semiHidden/>
    <w:unhideWhenUsed/>
    <w:qFormat/>
    <w:uiPriority w:val="99"/>
    <w:pPr>
      <w:tabs>
        <w:tab w:val="center" w:pos="4153"/>
        <w:tab w:val="right" w:pos="8306"/>
      </w:tabs>
      <w:snapToGrid w:val="0"/>
      <w:jc w:val="left"/>
    </w:pPr>
    <w:rPr>
      <w:sz w:val="18"/>
      <w:szCs w:val="18"/>
    </w:rPr>
  </w:style>
  <w:style w:type="paragraph" w:styleId="12">
    <w:name w:val="header"/>
    <w:basedOn w:val="1"/>
    <w:link w:val="32"/>
    <w:semiHidden/>
    <w:unhideWhenUsed/>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29"/>
    <w:semiHidden/>
    <w:unhideWhenUsed/>
    <w:qFormat/>
    <w:uiPriority w:val="99"/>
    <w:rPr>
      <w:b/>
      <w:bCs/>
    </w:rPr>
  </w:style>
  <w:style w:type="paragraph" w:styleId="14">
    <w:name w:val="Body Text First Indent"/>
    <w:basedOn w:val="6"/>
    <w:next w:val="15"/>
    <w:link w:val="30"/>
    <w:unhideWhenUsed/>
    <w:qFormat/>
    <w:uiPriority w:val="99"/>
    <w:pPr>
      <w:ind w:firstLine="420" w:firstLineChars="100"/>
    </w:pPr>
  </w:style>
  <w:style w:type="paragraph" w:styleId="15">
    <w:name w:val="Body Text First Indent 2"/>
    <w:basedOn w:val="8"/>
    <w:qFormat/>
    <w:uiPriority w:val="0"/>
    <w:pPr>
      <w:widowControl/>
      <w:ind w:left="420" w:leftChars="200" w:firstLine="420" w:firstLineChars="200"/>
    </w:pPr>
    <w:rPr>
      <w:rFonts w:ascii="仿宋_GB2312" w:eastAsia="仿宋_GB2312"/>
      <w:color w:val="FF6600"/>
      <w:sz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annotation reference"/>
    <w:basedOn w:val="18"/>
    <w:semiHidden/>
    <w:unhideWhenUsed/>
    <w:qFormat/>
    <w:uiPriority w:val="99"/>
    <w:rPr>
      <w:sz w:val="21"/>
      <w:szCs w:val="21"/>
    </w:rPr>
  </w:style>
  <w:style w:type="paragraph" w:styleId="21">
    <w:name w:val="List Paragraph"/>
    <w:basedOn w:val="1"/>
    <w:link w:val="24"/>
    <w:qFormat/>
    <w:uiPriority w:val="0"/>
    <w:pPr>
      <w:ind w:firstLine="420" w:firstLineChars="200"/>
    </w:pPr>
  </w:style>
  <w:style w:type="character" w:customStyle="1" w:styleId="22">
    <w:name w:val="批注框文本 Char"/>
    <w:basedOn w:val="18"/>
    <w:link w:val="10"/>
    <w:semiHidden/>
    <w:qFormat/>
    <w:uiPriority w:val="99"/>
    <w:rPr>
      <w:sz w:val="18"/>
      <w:szCs w:val="18"/>
    </w:rPr>
  </w:style>
  <w:style w:type="character" w:customStyle="1" w:styleId="23">
    <w:name w:val="正文缩进 Char"/>
    <w:link w:val="4"/>
    <w:qFormat/>
    <w:uiPriority w:val="0"/>
    <w:rPr>
      <w:rFonts w:ascii="Times New Roman" w:hAnsi="Times New Roman" w:eastAsia="宋体" w:cs="Times New Roman"/>
      <w:szCs w:val="24"/>
    </w:rPr>
  </w:style>
  <w:style w:type="character" w:customStyle="1" w:styleId="24">
    <w:name w:val="列出段落 Char"/>
    <w:link w:val="21"/>
    <w:qFormat/>
    <w:uiPriority w:val="0"/>
  </w:style>
  <w:style w:type="paragraph" w:customStyle="1" w:styleId="25">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6">
    <w:name w:val="正文文本 Char"/>
    <w:link w:val="6"/>
    <w:qFormat/>
    <w:locked/>
    <w:uiPriority w:val="99"/>
    <w:rPr>
      <w:szCs w:val="24"/>
    </w:rPr>
  </w:style>
  <w:style w:type="character" w:customStyle="1" w:styleId="27">
    <w:name w:val="正文文本 Char1"/>
    <w:basedOn w:val="18"/>
    <w:semiHidden/>
    <w:qFormat/>
    <w:uiPriority w:val="99"/>
  </w:style>
  <w:style w:type="character" w:customStyle="1" w:styleId="28">
    <w:name w:val="批注文字 Char"/>
    <w:basedOn w:val="18"/>
    <w:link w:val="5"/>
    <w:semiHidden/>
    <w:qFormat/>
    <w:uiPriority w:val="99"/>
  </w:style>
  <w:style w:type="character" w:customStyle="1" w:styleId="29">
    <w:name w:val="批注主题 Char"/>
    <w:basedOn w:val="28"/>
    <w:link w:val="13"/>
    <w:semiHidden/>
    <w:qFormat/>
    <w:uiPriority w:val="99"/>
    <w:rPr>
      <w:b/>
      <w:bCs/>
    </w:rPr>
  </w:style>
  <w:style w:type="character" w:customStyle="1" w:styleId="30">
    <w:name w:val="正文首行缩进 Char"/>
    <w:link w:val="14"/>
    <w:qFormat/>
    <w:uiPriority w:val="0"/>
    <w:rPr>
      <w:rFonts w:hint="default" w:ascii="Calibri" w:hAnsi="Calibri" w:eastAsia="宋体" w:cs="Times New Roman"/>
      <w:kern w:val="2"/>
      <w:sz w:val="21"/>
      <w:szCs w:val="22"/>
    </w:rPr>
  </w:style>
  <w:style w:type="paragraph" w:customStyle="1" w:styleId="31">
    <w:name w:val="Table Paragraph"/>
    <w:basedOn w:val="1"/>
    <w:qFormat/>
    <w:uiPriority w:val="99"/>
    <w:rPr>
      <w:rFonts w:ascii="宋体" w:hAnsi="宋体" w:cs="宋体"/>
      <w:lang w:val="zh-CN"/>
    </w:rPr>
  </w:style>
  <w:style w:type="character" w:customStyle="1" w:styleId="32">
    <w:name w:val="页眉 Char"/>
    <w:basedOn w:val="18"/>
    <w:link w:val="12"/>
    <w:semiHidden/>
    <w:uiPriority w:val="99"/>
    <w:rPr>
      <w:rFonts w:asciiTheme="minorHAnsi" w:hAnsiTheme="minorHAnsi" w:eastAsiaTheme="minorEastAsia" w:cstheme="minorBidi"/>
      <w:kern w:val="2"/>
      <w:sz w:val="18"/>
      <w:szCs w:val="18"/>
    </w:rPr>
  </w:style>
  <w:style w:type="character" w:customStyle="1" w:styleId="33">
    <w:name w:val="页脚 Char"/>
    <w:basedOn w:val="18"/>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20</TotalTime>
  <ScaleCrop>false</ScaleCrop>
  <LinksUpToDate>false</LinksUpToDate>
  <CharactersWithSpaces>7012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2021-10-12T08:20:00Z</cp:lastPrinted>
  <dcterms:modified xsi:type="dcterms:W3CDTF">2022-11-07T09:04:31Z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D2CD5679B1544A6680DEB91BF83B5D97</vt:lpwstr>
  </property>
</Properties>
</file>