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eastAsia" w:ascii="方正小标宋简体" w:hAnsi="方正小标宋简体" w:eastAsia="方正小标宋简体"/>
          <w:sz w:val="44"/>
          <w:szCs w:val="44"/>
          <w:lang w:val="en-US" w:eastAsia="zh-CN"/>
        </w:rPr>
      </w:pPr>
      <w:bookmarkStart w:id="1" w:name="_GoBack"/>
      <w:r>
        <w:rPr>
          <w:rFonts w:hint="eastAsia" w:ascii="宋体" w:hAnsi="宋体" w:eastAsia="宋体"/>
          <w:b/>
          <w:sz w:val="44"/>
          <w:szCs w:val="44"/>
        </w:rPr>
        <w:t>棉絮、枕芯</w:t>
      </w:r>
      <w:bookmarkEnd w:id="1"/>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w:t>
      </w:r>
      <w:r>
        <w:rPr>
          <w:rFonts w:hint="eastAsia" w:asciiTheme="minorEastAsia" w:hAnsiTheme="minorEastAsia" w:cstheme="minorEastAsia"/>
          <w:b/>
          <w:bCs/>
          <w:sz w:val="28"/>
          <w:szCs w:val="28"/>
          <w:lang w:eastAsia="zh-CN"/>
        </w:rPr>
        <w:t>医疗业务的</w:t>
      </w:r>
      <w:r>
        <w:rPr>
          <w:rFonts w:hint="eastAsia" w:asciiTheme="minorEastAsia" w:hAnsiTheme="minorEastAsia" w:cstheme="minorEastAsia"/>
          <w:b/>
          <w:bCs/>
          <w:sz w:val="28"/>
          <w:szCs w:val="28"/>
        </w:rPr>
        <w:t>正常</w:t>
      </w:r>
      <w:r>
        <w:rPr>
          <w:rFonts w:hint="eastAsia" w:asciiTheme="minorEastAsia" w:hAnsiTheme="minorEastAsia" w:cstheme="minorEastAsia"/>
          <w:b/>
          <w:bCs/>
          <w:sz w:val="28"/>
          <w:szCs w:val="28"/>
          <w:lang w:eastAsia="zh-CN"/>
        </w:rPr>
        <w:t>开展</w:t>
      </w: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eastAsia="zh-CN"/>
        </w:rPr>
        <w:t>需购买一批棉絮、枕芯</w:t>
      </w:r>
      <w:r>
        <w:rPr>
          <w:rFonts w:hint="eastAsia" w:asciiTheme="minorEastAsia" w:hAnsiTheme="minorEastAsia" w:cstheme="minorEastAsia"/>
          <w:b/>
          <w:bCs/>
          <w:sz w:val="28"/>
          <w:szCs w:val="28"/>
        </w:rPr>
        <w:t>。本项目供货期限为自签订合同之日起1年内，累计结算金额不得超过预算金额</w:t>
      </w:r>
      <w:r>
        <w:rPr>
          <w:rFonts w:hint="eastAsia" w:asciiTheme="minorEastAsia" w:hAnsiTheme="minorEastAsia" w:cstheme="minorEastAsia"/>
          <w:b/>
          <w:bCs/>
          <w:sz w:val="28"/>
          <w:szCs w:val="28"/>
          <w:lang w:val="en-US" w:eastAsia="zh-CN"/>
        </w:rPr>
        <w:t>3</w:t>
      </w:r>
      <w:r>
        <w:rPr>
          <w:rFonts w:hint="eastAsia" w:asciiTheme="minorEastAsia" w:hAnsiTheme="minorEastAsia" w:cstheme="minorEastAsia"/>
          <w:b/>
          <w:bCs/>
          <w:sz w:val="28"/>
          <w:szCs w:val="28"/>
        </w:rPr>
        <w:t>.8万元，分项限价见“采购清单及技术要求”。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4"/>
        <w:tblW w:w="4878" w:type="pct"/>
        <w:tblInd w:w="0" w:type="dxa"/>
        <w:tblLayout w:type="autofit"/>
        <w:tblCellMar>
          <w:top w:w="0" w:type="dxa"/>
          <w:left w:w="0" w:type="dxa"/>
          <w:bottom w:w="0" w:type="dxa"/>
          <w:right w:w="0" w:type="dxa"/>
        </w:tblCellMar>
      </w:tblPr>
      <w:tblGrid>
        <w:gridCol w:w="383"/>
        <w:gridCol w:w="558"/>
        <w:gridCol w:w="1085"/>
        <w:gridCol w:w="383"/>
        <w:gridCol w:w="4250"/>
        <w:gridCol w:w="383"/>
        <w:gridCol w:w="560"/>
        <w:gridCol w:w="734"/>
      </w:tblGrid>
      <w:tr>
        <w:tblPrEx>
          <w:tblCellMar>
            <w:top w:w="0" w:type="dxa"/>
            <w:left w:w="0" w:type="dxa"/>
            <w:bottom w:w="0" w:type="dxa"/>
            <w:right w:w="0" w:type="dxa"/>
          </w:tblCellMar>
        </w:tblPrEx>
        <w:trPr>
          <w:trHeight w:val="720" w:hRule="atLeast"/>
        </w:trPr>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名称</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规格</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c>
          <w:tcPr>
            <w:tcW w:w="25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产品说明</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单价最高限价（元）</w:t>
            </w:r>
          </w:p>
        </w:tc>
        <w:tc>
          <w:tcPr>
            <w:tcW w:w="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45" w:hRule="atLeast"/>
        </w:trPr>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枕芯</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0.4米*0.6米</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25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rPr>
            </w:pPr>
            <w:r>
              <w:rPr>
                <w:rFonts w:hint="eastAsia"/>
                <w:lang w:val="en-US" w:eastAsia="zh-CN"/>
              </w:rPr>
              <w:t>枕皮布料需与医院现有枕套相近，</w:t>
            </w:r>
            <w:r>
              <w:rPr>
                <w:rFonts w:hint="eastAsia" w:asciiTheme="minorEastAsia" w:hAnsiTheme="minorEastAsia" w:eastAsiaTheme="minorEastAsia" w:cstheme="minorEastAsia"/>
                <w:i w:val="0"/>
                <w:color w:val="000000"/>
                <w:kern w:val="0"/>
                <w:sz w:val="21"/>
                <w:szCs w:val="21"/>
                <w:u w:val="none"/>
                <w:lang w:val="en-US" w:eastAsia="zh-CN" w:bidi="ar"/>
              </w:rPr>
              <w:t>内芯高端珍珠棉1斤</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25.00 </w:t>
            </w:r>
          </w:p>
        </w:tc>
        <w:tc>
          <w:tcPr>
            <w:tcW w:w="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按需供货</w:t>
            </w:r>
          </w:p>
        </w:tc>
      </w:tr>
      <w:tr>
        <w:tblPrEx>
          <w:tblCellMar>
            <w:top w:w="0" w:type="dxa"/>
            <w:left w:w="0" w:type="dxa"/>
            <w:bottom w:w="0" w:type="dxa"/>
            <w:right w:w="0" w:type="dxa"/>
          </w:tblCellMar>
        </w:tblPrEx>
        <w:trPr>
          <w:trHeight w:val="2520" w:hRule="atLeast"/>
        </w:trPr>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垫棉絮</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200cm×90cm</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床</w:t>
            </w:r>
          </w:p>
        </w:tc>
        <w:tc>
          <w:tcPr>
            <w:tcW w:w="25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1、垫絮一级：200cm×90cm（偏差±2%）2、重量每床4斤；1.执行标准：GB 18383-2007、GH/T 1020-2000；3.含杂率≤0.8%，一级棉胎，网纱：面纱3层，密度≥13根/10㎝，研磨率≥80%；短纤维（≤13mm）含量≤25%；4.棉胎网线细密均匀，严禁分层制作，铺棉均匀平坦，厚度一致，手感无棉块，包装整齐，四边平直，四角方正，无缺花，棉胎外观平展、包边严紧、手感柔软蓬松，无杂物、板结、油污、异味等，达到或优于国家相应的质量技术指标要求。供货时提供质检报告。</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75.00 </w:t>
            </w:r>
          </w:p>
        </w:tc>
        <w:tc>
          <w:tcPr>
            <w:tcW w:w="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按需供货</w:t>
            </w:r>
          </w:p>
        </w:tc>
      </w:tr>
      <w:tr>
        <w:tblPrEx>
          <w:tblCellMar>
            <w:top w:w="0" w:type="dxa"/>
            <w:left w:w="0" w:type="dxa"/>
            <w:bottom w:w="0" w:type="dxa"/>
            <w:right w:w="0" w:type="dxa"/>
          </w:tblCellMar>
        </w:tblPrEx>
        <w:trPr>
          <w:trHeight w:val="1475" w:hRule="atLeast"/>
        </w:trPr>
        <w:tc>
          <w:tcPr>
            <w:tcW w:w="22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3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盖棉絮</w:t>
            </w:r>
          </w:p>
        </w:tc>
        <w:tc>
          <w:tcPr>
            <w:tcW w:w="6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200cm×150cm</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床</w:t>
            </w:r>
          </w:p>
        </w:tc>
        <w:tc>
          <w:tcPr>
            <w:tcW w:w="25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1、盖絮一级：200cm×150cm（偏差±2%）2、重量每床5斤；3.执行标准：GB 18383-2007、GH/T 1020-2000；4.含杂率≤0.8%，一级棉胎，网纱：面纱3层，密度≥13根/10㎝，研磨率≥80%；短纤维（≤13mm）含量≤25%；5.棉胎网线细密均匀，严禁分层制作，铺棉均匀平坦，厚度一致，手感无棉块，包装整齐，四边平直，四角方正，无缺花，棉胎外观平展、包边严紧、手感柔软蓬松，无杂物、板结、油污、异味等，达到或优于国家相应的质量技术指标要求。供货时提供质检报告。</w:t>
            </w:r>
          </w:p>
        </w:tc>
        <w:tc>
          <w:tcPr>
            <w:tcW w:w="2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xml:space="preserve">90.00 </w:t>
            </w:r>
          </w:p>
        </w:tc>
        <w:tc>
          <w:tcPr>
            <w:tcW w:w="4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按需供货</w:t>
            </w:r>
          </w:p>
        </w:tc>
      </w:tr>
    </w:tbl>
    <w:p>
      <w:pPr>
        <w:spacing w:line="360" w:lineRule="auto"/>
        <w:rPr>
          <w:rFonts w:asciiTheme="minorEastAsia" w:hAnsiTheme="minorEastAsia"/>
          <w:b/>
          <w:sz w:val="24"/>
          <w:szCs w:val="24"/>
        </w:rPr>
      </w:pPr>
    </w:p>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三、服务</w:t>
      </w:r>
      <w:r>
        <w:rPr>
          <w:rFonts w:hint="eastAsia" w:asciiTheme="minorEastAsia" w:hAnsiTheme="minorEastAsia"/>
          <w:b/>
          <w:bCs/>
          <w:sz w:val="24"/>
          <w:szCs w:val="24"/>
          <w:lang w:eastAsia="zh-CN"/>
        </w:rPr>
        <w:t>及</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1.交货时间：按需供货，接到订货通知单48小时内到达采购人指定地点，如遇紧急情况须保证3小时内送达采购人指定地点</w:t>
      </w:r>
      <w:r>
        <w:rPr>
          <w:rFonts w:hint="eastAsia" w:asciiTheme="minorEastAsia" w:hAnsiTheme="minorEastAsia"/>
          <w:sz w:val="24"/>
          <w:szCs w:val="24"/>
          <w:lang w:eastAsia="zh-CN"/>
        </w:rPr>
        <w:t>，交货时需提供检测报告</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2.交货地点：采购人指定地点。</w:t>
      </w:r>
    </w:p>
    <w:p>
      <w:pPr>
        <w:spacing w:line="360" w:lineRule="auto"/>
        <w:rPr>
          <w:rFonts w:asciiTheme="minorEastAsia" w:hAnsiTheme="minorEastAsia"/>
          <w:sz w:val="24"/>
          <w:szCs w:val="24"/>
        </w:rPr>
      </w:pPr>
      <w:r>
        <w:rPr>
          <w:rFonts w:hint="eastAsia" w:asciiTheme="minorEastAsia" w:hAnsiTheme="minorEastAsia"/>
          <w:sz w:val="24"/>
          <w:szCs w:val="24"/>
        </w:rPr>
        <w:t>3.付款方式：</w:t>
      </w:r>
      <w:r>
        <w:rPr>
          <w:rFonts w:hint="eastAsia" w:asciiTheme="minorEastAsia" w:hAnsiTheme="minorEastAsia"/>
          <w:sz w:val="24"/>
          <w:szCs w:val="24"/>
          <w:lang w:eastAsia="zh-CN"/>
        </w:rPr>
        <w:t>定期</w:t>
      </w:r>
      <w:r>
        <w:rPr>
          <w:rFonts w:hint="eastAsia" w:asciiTheme="minorEastAsia" w:hAnsiTheme="minorEastAsia"/>
          <w:sz w:val="24"/>
          <w:szCs w:val="24"/>
        </w:rPr>
        <w:t>核对验收凭证，以实际使用量定期结算。</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五、供应商资格要求及证明材料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rPr>
        <w:t>六、响应文件要求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1.递交响应文件截止时间：2022年09月</w:t>
      </w:r>
      <w:r>
        <w:rPr>
          <w:rFonts w:hint="eastAsia" w:cs="宋体-18030" w:asciiTheme="minorEastAsia" w:hAnsiTheme="minorEastAsia"/>
          <w:kern w:val="0"/>
          <w:sz w:val="24"/>
          <w:lang w:val="en-US" w:eastAsia="zh-CN"/>
        </w:rPr>
        <w:t>23</w:t>
      </w:r>
      <w:r>
        <w:rPr>
          <w:rFonts w:hint="eastAsia" w:cs="宋体-18030" w:asciiTheme="minorEastAsia" w:hAnsiTheme="minorEastAsia"/>
          <w:kern w:val="0"/>
          <w:sz w:val="24"/>
        </w:rPr>
        <w:t>日11:00（北京时间）。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b w:val="0"/>
          <w:bCs w:val="0"/>
          <w:color w:val="auto"/>
          <w:kern w:val="0"/>
          <w:sz w:val="24"/>
        </w:rPr>
      </w:pPr>
      <w:r>
        <w:rPr>
          <w:rFonts w:hint="eastAsia" w:cs="宋体-18030" w:asciiTheme="minorEastAsia" w:hAnsiTheme="minorEastAsia"/>
          <w:b w:val="0"/>
          <w:bCs w:val="0"/>
          <w:color w:val="auto"/>
          <w:kern w:val="0"/>
          <w:sz w:val="24"/>
        </w:rPr>
        <w:t>3.逾期送（寄）达或者未送（寄）达指定地点的响应文件，采购人不予受理。</w:t>
      </w:r>
    </w:p>
    <w:p>
      <w:pPr>
        <w:pStyle w:val="3"/>
        <w:spacing w:line="360" w:lineRule="auto"/>
        <w:rPr>
          <w:rStyle w:val="17"/>
          <w:b w:val="0"/>
          <w:bCs w:val="0"/>
          <w:color w:val="auto"/>
          <w:szCs w:val="22"/>
          <w:shd w:val="clear" w:color="auto" w:fill="FFFFFF"/>
        </w:rPr>
      </w:pPr>
      <w:r>
        <w:rPr>
          <w:rFonts w:hint="eastAsia" w:asciiTheme="minorEastAsia" w:hAnsiTheme="minorEastAsia" w:cstheme="minorEastAsia"/>
          <w:b/>
          <w:bCs/>
          <w:color w:val="auto"/>
          <w:sz w:val="24"/>
          <w:shd w:val="clear" w:color="auto" w:fill="FFFFFF"/>
        </w:rPr>
        <w:t>特别提示：</w:t>
      </w:r>
      <w:r>
        <w:rPr>
          <w:rFonts w:hint="eastAsia" w:asciiTheme="minorEastAsia" w:hAnsiTheme="minorEastAsia" w:cstheme="minorEastAsia"/>
          <w:b w:val="0"/>
          <w:bCs w:val="0"/>
          <w:color w:val="auto"/>
          <w:sz w:val="24"/>
          <w:shd w:val="clear" w:color="auto" w:fill="FFFFFF"/>
        </w:rPr>
        <w:t> </w:t>
      </w:r>
      <w:r>
        <w:rPr>
          <w:rStyle w:val="17"/>
          <w:rFonts w:hint="eastAsia" w:asciiTheme="minorEastAsia" w:hAnsiTheme="minorEastAsia" w:cstheme="minorEastAsia"/>
          <w:b w:val="0"/>
          <w:bCs w:val="0"/>
          <w:color w:val="auto"/>
          <w:sz w:val="24"/>
          <w:shd w:val="clear" w:color="auto" w:fill="FFFFFF"/>
        </w:rPr>
        <w:t>因新冠疫情防控需要，本次采购，接受寄达的方式</w:t>
      </w:r>
      <w:r>
        <w:rPr>
          <w:rStyle w:val="17"/>
          <w:rFonts w:hint="eastAsia" w:asciiTheme="minorEastAsia" w:hAnsiTheme="minorEastAsia" w:cstheme="minorEastAsia"/>
          <w:b w:val="0"/>
          <w:bCs w:val="0"/>
          <w:color w:val="auto"/>
          <w:sz w:val="24"/>
          <w:szCs w:val="22"/>
          <w:shd w:val="clear" w:color="auto" w:fill="FFFFFF"/>
        </w:rPr>
        <w:t>，寄出后须与采购人联系查证是否接收；如供应商代表到现场递交响应文件</w:t>
      </w:r>
      <w:r>
        <w:rPr>
          <w:rStyle w:val="17"/>
          <w:rFonts w:hint="eastAsia" w:asciiTheme="minorEastAsia" w:hAnsiTheme="minorEastAsia" w:cstheme="minorEastAsia"/>
          <w:b w:val="0"/>
          <w:bCs w:val="0"/>
          <w:color w:val="auto"/>
          <w:sz w:val="24"/>
          <w:shd w:val="clear" w:color="auto" w:fill="FFFFFF"/>
        </w:rPr>
        <w:t>，</w:t>
      </w:r>
      <w:r>
        <w:rPr>
          <w:rStyle w:val="17"/>
          <w:rFonts w:hint="eastAsia" w:asciiTheme="minorEastAsia" w:hAnsiTheme="minorEastAsia" w:cstheme="minorEastAsia"/>
          <w:b w:val="0"/>
          <w:bCs w:val="0"/>
          <w:color w:val="auto"/>
          <w:sz w:val="24"/>
          <w:szCs w:val="22"/>
          <w:shd w:val="clear" w:color="auto" w:fill="FFFFFF"/>
        </w:rPr>
        <w:t>需提供绿色健康码、24小时内核酸检查阴性结果、行程码等证明，否则采购人不予接待，所造成的一切后果由供应商全部承担。</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八、联系方式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 xml:space="preserve">联系人：罗老师 </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九、</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56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签订时间：2022年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7"/>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1.每批次货物到达交货地点验收合格后30个工作日内转账支付相应批次100%的货款（如产品出现质量问题则支付期相应顺延）；</w:t>
      </w:r>
    </w:p>
    <w:p>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dmMDMwNGEwOGYzYzJlZmQ0YTBhZWRjYTA0YzIxNzU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B7625FD"/>
    <w:rsid w:val="151B3CF1"/>
    <w:rsid w:val="156C442B"/>
    <w:rsid w:val="164A3328"/>
    <w:rsid w:val="18934843"/>
    <w:rsid w:val="1CE86C7E"/>
    <w:rsid w:val="1F281065"/>
    <w:rsid w:val="2A3D587C"/>
    <w:rsid w:val="342C36FD"/>
    <w:rsid w:val="361D455A"/>
    <w:rsid w:val="3C9E34DC"/>
    <w:rsid w:val="3FF0557C"/>
    <w:rsid w:val="4244401A"/>
    <w:rsid w:val="4E023FB5"/>
    <w:rsid w:val="505676E2"/>
    <w:rsid w:val="50863A39"/>
    <w:rsid w:val="555B6681"/>
    <w:rsid w:val="58CA6D6C"/>
    <w:rsid w:val="590F06B1"/>
    <w:rsid w:val="62705B39"/>
    <w:rsid w:val="6639773D"/>
    <w:rsid w:val="66F0488D"/>
    <w:rsid w:val="6BC74FC2"/>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unhideWhenUsed/>
    <w:qFormat/>
    <w:uiPriority w:val="99"/>
    <w:pPr>
      <w:ind w:firstLine="420" w:firstLineChars="100"/>
    </w:pPr>
  </w:style>
  <w:style w:type="paragraph" w:styleId="3">
    <w:name w:val="Body Text"/>
    <w:basedOn w:val="1"/>
    <w:next w:val="4"/>
    <w:link w:val="2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7">
    <w:name w:val="Normal Indent"/>
    <w:basedOn w:val="1"/>
    <w:link w:val="21"/>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semiHidden/>
    <w:unhideWhenUsed/>
    <w:qFormat/>
    <w:uiPriority w:val="99"/>
    <w:pPr>
      <w:jc w:val="left"/>
    </w:p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0"/>
    <w:semiHidden/>
    <w:unhideWhenUsed/>
    <w:qFormat/>
    <w:uiPriority w:val="99"/>
    <w:rPr>
      <w:sz w:val="18"/>
      <w:szCs w:val="18"/>
    </w:rPr>
  </w:style>
  <w:style w:type="paragraph" w:styleId="11">
    <w:name w:val="footer"/>
    <w:basedOn w:val="1"/>
    <w:link w:val="31"/>
    <w:semiHidden/>
    <w:unhideWhenUsed/>
    <w:qFormat/>
    <w:uiPriority w:val="99"/>
    <w:pPr>
      <w:tabs>
        <w:tab w:val="center" w:pos="4153"/>
        <w:tab w:val="right" w:pos="8306"/>
      </w:tabs>
      <w:snapToGrid w:val="0"/>
      <w:jc w:val="left"/>
    </w:pPr>
    <w:rPr>
      <w:sz w:val="18"/>
      <w:szCs w:val="18"/>
    </w:rPr>
  </w:style>
  <w:style w:type="paragraph" w:styleId="12">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link w:val="22"/>
    <w:qFormat/>
    <w:uiPriority w:val="0"/>
    <w:pPr>
      <w:ind w:firstLine="420" w:firstLineChars="200"/>
    </w:pPr>
  </w:style>
  <w:style w:type="character" w:customStyle="1" w:styleId="20">
    <w:name w:val="批注框文本 Char"/>
    <w:basedOn w:val="16"/>
    <w:link w:val="10"/>
    <w:semiHidden/>
    <w:qFormat/>
    <w:uiPriority w:val="99"/>
    <w:rPr>
      <w:sz w:val="18"/>
      <w:szCs w:val="18"/>
    </w:rPr>
  </w:style>
  <w:style w:type="character" w:customStyle="1" w:styleId="21">
    <w:name w:val="正文缩进 Char"/>
    <w:link w:val="7"/>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qFormat/>
    <w:locked/>
    <w:uiPriority w:val="99"/>
    <w:rPr>
      <w:szCs w:val="24"/>
    </w:rPr>
  </w:style>
  <w:style w:type="character" w:customStyle="1" w:styleId="25">
    <w:name w:val="正文文本 Char1"/>
    <w:basedOn w:val="16"/>
    <w:semiHidden/>
    <w:qFormat/>
    <w:uiPriority w:val="99"/>
  </w:style>
  <w:style w:type="character" w:customStyle="1" w:styleId="26">
    <w:name w:val="批注文字 Char"/>
    <w:basedOn w:val="16"/>
    <w:link w:val="8"/>
    <w:semiHidden/>
    <w:qFormat/>
    <w:uiPriority w:val="99"/>
  </w:style>
  <w:style w:type="character" w:customStyle="1" w:styleId="27">
    <w:name w:val="批注主题 Char"/>
    <w:basedOn w:val="26"/>
    <w:link w:val="13"/>
    <w:semiHidden/>
    <w:qFormat/>
    <w:uiPriority w:val="99"/>
    <w:rPr>
      <w:b/>
      <w:bCs/>
    </w:rPr>
  </w:style>
  <w:style w:type="character" w:customStyle="1" w:styleId="28">
    <w:name w:val="正文首行缩进 Char"/>
    <w:link w:val="2"/>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6"/>
    <w:link w:val="12"/>
    <w:semiHidden/>
    <w:uiPriority w:val="99"/>
    <w:rPr>
      <w:rFonts w:asciiTheme="minorHAnsi" w:hAnsiTheme="minorHAnsi" w:eastAsiaTheme="minorEastAsia" w:cstheme="minorBidi"/>
      <w:kern w:val="2"/>
      <w:sz w:val="18"/>
      <w:szCs w:val="18"/>
    </w:rPr>
  </w:style>
  <w:style w:type="character" w:customStyle="1" w:styleId="31">
    <w:name w:val="页脚 Char"/>
    <w:basedOn w:val="16"/>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4</TotalTime>
  <ScaleCrop>false</ScaleCrop>
  <LinksUpToDate>false</LinksUpToDate>
  <CharactersWithSpaces>7012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2022-09-29T02:38:58Z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D2CD5679B1544A6680DEB91BF83B5D97</vt:lpwstr>
  </property>
</Properties>
</file>