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hint="eastAsia" w:ascii="方正小标宋简体" w:hAnsi="方正小标宋简体" w:eastAsia="方正小标宋简体"/>
          <w:sz w:val="44"/>
          <w:szCs w:val="44"/>
          <w:lang w:val="en-US" w:eastAsia="zh-CN"/>
        </w:rPr>
      </w:pPr>
      <w:r>
        <w:rPr>
          <w:rFonts w:hint="eastAsia" w:ascii="宋体" w:hAnsi="宋体" w:eastAsia="宋体"/>
          <w:b/>
          <w:sz w:val="44"/>
          <w:szCs w:val="44"/>
        </w:rPr>
        <w:t>医用制水设备相关耗材</w:t>
      </w:r>
      <w:r>
        <w:rPr>
          <w:rFonts w:hint="eastAsia" w:ascii="方正小标宋简体" w:hAnsi="方正小标宋简体" w:eastAsia="方正小标宋简体"/>
          <w:sz w:val="44"/>
          <w:szCs w:val="44"/>
        </w:rPr>
        <w:t>询价采购需求</w:t>
      </w:r>
      <w:r>
        <w:rPr>
          <w:rFonts w:hint="eastAsia" w:ascii="方正小标宋简体" w:hAnsi="方正小标宋简体" w:eastAsia="方正小标宋简体"/>
          <w:sz w:val="44"/>
          <w:szCs w:val="44"/>
          <w:lang w:eastAsia="zh-CN"/>
        </w:rPr>
        <w:t>（第二次）</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医用纯水制水设备正常使用，制水质量达标，需要对纯水制水设备的耗材进行定期更换，具体按照纯水设备型号需求进行更换。本项目供货期限为自签订合同之日起1年内，累计结算金额不得超过预算金额19.8万元，分项限价见“采购清单及技术要求”。</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
        <w:gridCol w:w="2211"/>
        <w:gridCol w:w="1266"/>
        <w:gridCol w:w="2038"/>
        <w:gridCol w:w="828"/>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使用科室</w:t>
            </w:r>
          </w:p>
        </w:tc>
        <w:tc>
          <w:tcPr>
            <w:tcW w:w="1297" w:type="pc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设备信息</w:t>
            </w:r>
          </w:p>
        </w:tc>
        <w:tc>
          <w:tcPr>
            <w:tcW w:w="743" w:type="pc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涉及耗材</w:t>
            </w:r>
          </w:p>
        </w:tc>
        <w:tc>
          <w:tcPr>
            <w:tcW w:w="1196" w:type="pc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规格型号</w:t>
            </w:r>
          </w:p>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技术标准</w:t>
            </w:r>
          </w:p>
        </w:tc>
        <w:tc>
          <w:tcPr>
            <w:tcW w:w="486" w:type="pct"/>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计价单位</w:t>
            </w:r>
          </w:p>
        </w:tc>
        <w:tc>
          <w:tcPr>
            <w:tcW w:w="945" w:type="pc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最高限价（单价）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检验科</w:t>
            </w:r>
          </w:p>
        </w:tc>
        <w:tc>
          <w:tcPr>
            <w:tcW w:w="1297" w:type="pct"/>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品牌：优普</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型号：UPS-I-80L、UPS-I-100L</w:t>
            </w:r>
          </w:p>
          <w:p>
            <w:pPr>
              <w:ind w:firstLine="945" w:firstLineChars="450"/>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树脂</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产水电阻率≥10MΩ*cm，每升树脂交换纯水量≥800L。</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规格：3020</w:t>
            </w:r>
          </w:p>
          <w:p>
            <w:pPr>
              <w:widowControl/>
              <w:jc w:val="left"/>
              <w:rPr>
                <w:rFonts w:asciiTheme="minorEastAsia" w:hAnsiTheme="minorEastAsia" w:cstheme="minorEastAsia"/>
              </w:rPr>
            </w:pPr>
            <w:r>
              <w:rPr>
                <w:rFonts w:hint="eastAsia" w:asciiTheme="minorEastAsia" w:hAnsiTheme="minorEastAsia" w:cstheme="minorEastAsia"/>
              </w:rPr>
              <w:t>单支膜产水量≥80L/h，脱盐率≥96%。</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滤芯（PP+AC+PP叁支）</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套</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240.00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内镜中心</w:t>
            </w:r>
          </w:p>
        </w:tc>
        <w:tc>
          <w:tcPr>
            <w:tcW w:w="1297" w:type="pct"/>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品牌：通力达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型号：LDM-Ⅲ-A- 300S</w:t>
            </w: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kern w:val="0"/>
                <w:szCs w:val="21"/>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widowControl/>
              <w:jc w:val="left"/>
              <w:rPr>
                <w:rFonts w:asciiTheme="minorEastAsia" w:hAnsiTheme="minorEastAsia" w:cstheme="minorEastAsia"/>
                <w:kern w:val="0"/>
                <w:szCs w:val="21"/>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产水量≥300L/h，脱盐率≥98%。提供相关检测证明文件。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紫外灯管</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波长254纳米</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900.00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供应室</w:t>
            </w:r>
          </w:p>
        </w:tc>
        <w:tc>
          <w:tcPr>
            <w:tcW w:w="1297" w:type="pct"/>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品牌：宜科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型号：EKUS- AA01- 1000L</w:t>
            </w: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b/>
                <w:bCs/>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widowControl/>
              <w:jc w:val="left"/>
              <w:rPr>
                <w:rFonts w:asciiTheme="minorEastAsia" w:hAnsiTheme="minorEastAsia" w:cstheme="minorEastAsia"/>
                <w:kern w:val="0"/>
                <w:szCs w:val="21"/>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pPr>
              <w:widowControl/>
              <w:rPr>
                <w:rFonts w:asciiTheme="minorEastAsia" w:hAnsiTheme="minorEastAsia" w:cstheme="minorEastAsia"/>
                <w:kern w:val="0"/>
                <w:szCs w:val="21"/>
              </w:rPr>
            </w:pPr>
            <w:r>
              <w:rPr>
                <w:rFonts w:hint="eastAsia" w:asciiTheme="minorEastAsia" w:hAnsiTheme="minorEastAsia" w:cstheme="minorEastAsia"/>
              </w:rPr>
              <w:t>单支膜</w:t>
            </w:r>
            <w:r>
              <w:rPr>
                <w:rFonts w:hint="eastAsia" w:asciiTheme="minorEastAsia" w:hAnsiTheme="minorEastAsia" w:cstheme="minorEastAsia"/>
                <w:kern w:val="0"/>
                <w:szCs w:val="21"/>
              </w:rPr>
              <w:t>产水量≥300L/h，脱盐率≥98%。提供相关检测证明文件。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pPr>
              <w:widowControl/>
              <w:tabs>
                <w:tab w:val="left" w:pos="505"/>
                <w:tab w:val="center" w:pos="1360"/>
              </w:tabs>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334" w:type="pct"/>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1297" w:type="pct"/>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品牌：广州康盛                                             型号：KCDS-      300L(A)/KCDS300L(B)             </w:t>
            </w: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规格：平压式 10x5μ</w:t>
            </w:r>
          </w:p>
          <w:p>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34" w:type="pct"/>
            <w:vMerge w:val="continue"/>
            <w:vAlign w:val="center"/>
          </w:tcPr>
          <w:p>
            <w:pPr>
              <w:widowControl/>
              <w:jc w:val="left"/>
              <w:rPr>
                <w:rFonts w:asciiTheme="minorEastAsia" w:hAnsiTheme="minorEastAsia" w:cstheme="minorEastAsia"/>
                <w:kern w:val="0"/>
                <w:szCs w:val="21"/>
              </w:rPr>
            </w:pPr>
          </w:p>
        </w:tc>
        <w:tc>
          <w:tcPr>
            <w:tcW w:w="1297" w:type="pct"/>
            <w:vMerge w:val="continue"/>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微孔折叠滤芯                             </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规格：平压式10</w:t>
            </w:r>
          </w:p>
          <w:p>
            <w:pPr>
              <w:widowControl/>
              <w:jc w:val="left"/>
              <w:rPr>
                <w:rFonts w:asciiTheme="minorEastAsia" w:hAnsiTheme="minorEastAsia" w:cstheme="minorEastAsia"/>
              </w:rPr>
            </w:pPr>
            <w:r>
              <w:rPr>
                <w:rFonts w:hint="eastAsia" w:asciiTheme="minorEastAsia" w:hAnsiTheme="minorEastAsia" w:cstheme="minorEastAsia"/>
              </w:rPr>
              <w:t>过滤孔径≤0.2μ。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1297" w:type="pct"/>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品牌：四川纯洁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型号：CJ-ROII-3000</w:t>
            </w: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4-20目</w:t>
            </w:r>
          </w:p>
        </w:tc>
        <w:tc>
          <w:tcPr>
            <w:tcW w:w="828" w:type="dxa"/>
            <w:vAlign w:val="center"/>
          </w:tcPr>
          <w:p>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rPr>
            </w:pPr>
            <w:r>
              <w:rPr>
                <w:rFonts w:hint="eastAsia" w:asciiTheme="minorEastAsia" w:hAnsiTheme="minorEastAsia" w:cstheme="minorEastAsia"/>
                <w:sz w:val="22"/>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b/>
                <w:bCs/>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widowControl/>
              <w:jc w:val="left"/>
              <w:rPr>
                <w:rFonts w:asciiTheme="minorEastAsia" w:hAnsiTheme="minorEastAsia" w:cstheme="minorEastAsia"/>
                <w:b/>
                <w:bCs/>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规格：8040</w:t>
            </w:r>
          </w:p>
          <w:p>
            <w:pPr>
              <w:widowControl/>
              <w:jc w:val="left"/>
              <w:rPr>
                <w:rFonts w:asciiTheme="minorEastAsia" w:hAnsiTheme="minorEastAsia" w:cstheme="minorEastAsia"/>
              </w:rPr>
            </w:pPr>
            <w:r>
              <w:rPr>
                <w:rFonts w:hint="eastAsia" w:asciiTheme="minorEastAsia" w:hAnsiTheme="minorEastAsia" w:cstheme="minorEastAsia"/>
              </w:rPr>
              <w:t>单支膜产水量≥1500L/h，脱盐率≥98%。提供相关检测证明文件。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pPr>
              <w:widowControl/>
              <w:tabs>
                <w:tab w:val="left" w:pos="314"/>
                <w:tab w:val="center" w:pos="1361"/>
              </w:tabs>
              <w:jc w:val="left"/>
              <w:rPr>
                <w:rFonts w:asciiTheme="minorEastAsia" w:hAnsiTheme="minorEastAsia" w:cstheme="minorEastAsia"/>
              </w:rPr>
            </w:pPr>
            <w:r>
              <w:rPr>
                <w:rFonts w:hint="eastAsia" w:asciiTheme="minorEastAsia" w:hAnsiTheme="minorEastAsia" w:cstheme="minorEastAsia"/>
              </w:rPr>
              <w:t>规格：插入式30寸</w:t>
            </w:r>
          </w:p>
          <w:p>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消毒液过氧乙酸</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规格：10组/件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件</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总氯检测试纸</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规格：100次/瓶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水硬度检测试纸</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规格：50次/瓶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瓶</w:t>
            </w:r>
          </w:p>
        </w:tc>
        <w:tc>
          <w:tcPr>
            <w:tcW w:w="945" w:type="pct"/>
            <w:shd w:val="clear" w:color="auto" w:fill="auto"/>
            <w:vAlign w:val="center"/>
          </w:tcPr>
          <w:p>
            <w:pPr>
              <w:widowControl/>
              <w:jc w:val="center"/>
              <w:textAlignment w:val="center"/>
              <w:rPr>
                <w:rFonts w:asciiTheme="minorEastAsia" w:hAnsiTheme="minorEastAsia" w:cstheme="minorEastAsia"/>
              </w:rPr>
            </w:pPr>
            <w:r>
              <w:rPr>
                <w:rFonts w:hint="eastAsia" w:asciiTheme="minorEastAsia" w:hAnsiTheme="minorEastAsia" w:cstheme="minorEastAsia"/>
                <w:sz w:val="22"/>
              </w:rPr>
              <w:t>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过氧乙酸残留检测试纸</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规格：100次/瓶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血透室三 楼搬迁供 应室</w:t>
            </w:r>
          </w:p>
        </w:tc>
        <w:tc>
          <w:tcPr>
            <w:tcW w:w="1297" w:type="pct"/>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品牌：武汉启程</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设备型号：ME4-1000</w:t>
            </w: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vAlign w:val="center"/>
          </w:tcPr>
          <w:p>
            <w:pPr>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规格：8040</w:t>
            </w:r>
          </w:p>
          <w:p>
            <w:pPr>
              <w:widowControl/>
              <w:jc w:val="left"/>
              <w:rPr>
                <w:rFonts w:asciiTheme="minorEastAsia" w:hAnsiTheme="minorEastAsia" w:cstheme="minorEastAsia"/>
              </w:rPr>
            </w:pPr>
            <w:r>
              <w:rPr>
                <w:rFonts w:hint="eastAsia" w:asciiTheme="minorEastAsia" w:hAnsiTheme="minorEastAsia" w:cstheme="minorEastAsia"/>
              </w:rPr>
              <w:t>单支膜产水量≥1500L/h，脱盐率≥98%。提供相关检测证明文件。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shd w:val="clear" w:color="auto" w:fill="auto"/>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0" w:hRule="atLeast"/>
        </w:trPr>
        <w:tc>
          <w:tcPr>
            <w:tcW w:w="334" w:type="pct"/>
            <w:vMerge w:val="continue"/>
            <w:shd w:val="clear" w:color="auto" w:fill="auto"/>
            <w:vAlign w:val="center"/>
          </w:tcPr>
          <w:p>
            <w:pPr>
              <w:widowControl/>
              <w:jc w:val="left"/>
              <w:rPr>
                <w:rFonts w:asciiTheme="minorEastAsia" w:hAnsiTheme="minorEastAsia" w:cstheme="minorEastAsia"/>
                <w:kern w:val="0"/>
                <w:szCs w:val="21"/>
              </w:rPr>
            </w:pPr>
          </w:p>
        </w:tc>
        <w:tc>
          <w:tcPr>
            <w:tcW w:w="1297" w:type="pct"/>
            <w:vMerge w:val="continue"/>
            <w:vAlign w:val="center"/>
          </w:tcPr>
          <w:p>
            <w:pPr>
              <w:widowControl/>
              <w:jc w:val="left"/>
              <w:rPr>
                <w:rFonts w:asciiTheme="minorEastAsia" w:hAnsiTheme="minorEastAsia" w:cstheme="minorEastAsia"/>
                <w:kern w:val="0"/>
                <w:szCs w:val="21"/>
              </w:rPr>
            </w:pPr>
          </w:p>
        </w:tc>
        <w:tc>
          <w:tcPr>
            <w:tcW w:w="743"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1196" w:type="pc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widowControl/>
              <w:jc w:val="left"/>
              <w:rPr>
                <w:rFonts w:asciiTheme="minorEastAsia" w:hAnsiTheme="minorEastAsia" w:cstheme="minorEastAsia"/>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bl>
    <w:p>
      <w:pPr>
        <w:spacing w:line="360" w:lineRule="auto"/>
        <w:rPr>
          <w:rFonts w:asciiTheme="minorEastAsia" w:hAnsiTheme="minorEastAsia"/>
          <w:b/>
          <w:sz w:val="24"/>
          <w:szCs w:val="24"/>
        </w:rPr>
      </w:pPr>
    </w:p>
    <w:p>
      <w:pPr>
        <w:spacing w:line="360" w:lineRule="auto"/>
        <w:rPr>
          <w:rFonts w:asciiTheme="minorEastAsia" w:hAnsiTheme="minorEastAsia"/>
          <w:b/>
          <w:bCs/>
          <w:sz w:val="24"/>
          <w:szCs w:val="24"/>
        </w:rPr>
      </w:pP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三、服务要求：</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1.保证纯水设备正常使用,产水水质符合各科室用水标准；                                                                                                                                                            2.按照规定更换耗材后保证设备制水水质达标； </w:t>
      </w:r>
    </w:p>
    <w:p>
      <w:pPr>
        <w:spacing w:line="360" w:lineRule="auto"/>
        <w:jc w:val="left"/>
        <w:rPr>
          <w:rFonts w:asciiTheme="minorEastAsia" w:hAnsiTheme="minorEastAsia"/>
          <w:sz w:val="24"/>
          <w:szCs w:val="24"/>
        </w:rPr>
      </w:pPr>
      <w:r>
        <w:rPr>
          <w:rFonts w:hint="eastAsia" w:asciiTheme="minorEastAsia" w:hAnsiTheme="minorEastAsia"/>
          <w:sz w:val="24"/>
          <w:szCs w:val="24"/>
        </w:rPr>
        <w:t>3.纯水设备出现故障，供货单位保证30分钟内电话响应，24小时内排除故障，若需更换设备配件，经设备科及使用科室协同维修工程师共同确认后进行更换，设备维修及配件费用另外协商处理。</w:t>
      </w:r>
    </w:p>
    <w:p>
      <w:pPr>
        <w:spacing w:line="360" w:lineRule="auto"/>
        <w:rPr>
          <w:rFonts w:asciiTheme="minorEastAsia" w:hAnsiTheme="minorEastAsia"/>
          <w:b/>
          <w:bCs/>
          <w:sz w:val="24"/>
          <w:szCs w:val="24"/>
        </w:rPr>
      </w:pPr>
      <w:r>
        <w:rPr>
          <w:rFonts w:hint="eastAsia" w:asciiTheme="minorEastAsia" w:hAnsiTheme="minorEastAsia"/>
          <w:b/>
          <w:bCs/>
          <w:sz w:val="24"/>
          <w:szCs w:val="24"/>
        </w:rPr>
        <w:t>四、商务要求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1.交货时间：按需供货，接到订货通知单48小时内到达采购人指定地点，如遇紧急情况须保证3小时内送达采购人指定地点。</w:t>
      </w:r>
    </w:p>
    <w:p>
      <w:pPr>
        <w:spacing w:line="360" w:lineRule="auto"/>
        <w:rPr>
          <w:rFonts w:asciiTheme="minorEastAsia" w:hAnsiTheme="minorEastAsia"/>
          <w:sz w:val="24"/>
          <w:szCs w:val="24"/>
        </w:rPr>
      </w:pPr>
      <w:r>
        <w:rPr>
          <w:rFonts w:hint="eastAsia" w:asciiTheme="minorEastAsia" w:hAnsiTheme="minorEastAsia"/>
          <w:sz w:val="24"/>
          <w:szCs w:val="24"/>
        </w:rPr>
        <w:t>2.交货地点：采购人指定地点。</w:t>
      </w:r>
    </w:p>
    <w:p>
      <w:pPr>
        <w:spacing w:line="360" w:lineRule="auto"/>
        <w:rPr>
          <w:rFonts w:asciiTheme="minorEastAsia" w:hAnsiTheme="minorEastAsia"/>
          <w:sz w:val="24"/>
          <w:szCs w:val="24"/>
        </w:rPr>
      </w:pPr>
      <w:r>
        <w:rPr>
          <w:rFonts w:hint="eastAsia" w:asciiTheme="minorEastAsia" w:hAnsiTheme="minorEastAsia"/>
          <w:sz w:val="24"/>
          <w:szCs w:val="24"/>
        </w:rPr>
        <w:t>3.付款方式：按季度核对验收凭证，以实际使用量定期结算。</w:t>
      </w:r>
    </w:p>
    <w:p>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五、供应商资格要求及证明材料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rPr>
        <w:t>六、响应文件要求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rPr>
        <w:t>七</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1.递交响应文件截止时间：2022年09月</w:t>
      </w:r>
      <w:r>
        <w:rPr>
          <w:rFonts w:hint="eastAsia" w:cs="宋体-18030" w:asciiTheme="minorEastAsia" w:hAnsiTheme="minorEastAsia"/>
          <w:kern w:val="0"/>
          <w:sz w:val="24"/>
          <w:lang w:val="en-US" w:eastAsia="zh-CN"/>
        </w:rPr>
        <w:t>23</w:t>
      </w:r>
      <w:r>
        <w:rPr>
          <w:rFonts w:hint="eastAsia" w:cs="宋体-18030" w:asciiTheme="minorEastAsia" w:hAnsiTheme="minorEastAsia"/>
          <w:kern w:val="0"/>
          <w:sz w:val="24"/>
        </w:rPr>
        <w:t>日11:00（北京时间）。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b w:val="0"/>
          <w:bCs w:val="0"/>
          <w:color w:val="auto"/>
          <w:kern w:val="0"/>
          <w:sz w:val="24"/>
        </w:rPr>
      </w:pPr>
      <w:r>
        <w:rPr>
          <w:rFonts w:hint="eastAsia" w:cs="宋体-18030" w:asciiTheme="minorEastAsia" w:hAnsiTheme="minorEastAsia"/>
          <w:b w:val="0"/>
          <w:bCs w:val="0"/>
          <w:color w:val="auto"/>
          <w:kern w:val="0"/>
          <w:sz w:val="24"/>
        </w:rPr>
        <w:t>3.逾期送（寄）达或者未送（寄）达指定地点的响应文件，采购人不予受理。</w:t>
      </w:r>
    </w:p>
    <w:p>
      <w:pPr>
        <w:pStyle w:val="3"/>
        <w:spacing w:line="360" w:lineRule="auto"/>
        <w:rPr>
          <w:rStyle w:val="17"/>
          <w:b w:val="0"/>
          <w:bCs w:val="0"/>
          <w:color w:val="auto"/>
          <w:szCs w:val="22"/>
          <w:shd w:val="clear" w:color="auto" w:fill="FFFFFF"/>
        </w:rPr>
      </w:pPr>
      <w:r>
        <w:rPr>
          <w:rFonts w:hint="eastAsia" w:asciiTheme="minorEastAsia" w:hAnsiTheme="minorEastAsia" w:cstheme="minorEastAsia"/>
          <w:b/>
          <w:bCs/>
          <w:color w:val="auto"/>
          <w:sz w:val="24"/>
          <w:shd w:val="clear" w:color="auto" w:fill="FFFFFF"/>
        </w:rPr>
        <w:t>特别提示：</w:t>
      </w:r>
      <w:r>
        <w:rPr>
          <w:rFonts w:hint="eastAsia" w:asciiTheme="minorEastAsia" w:hAnsiTheme="minorEastAsia" w:cstheme="minorEastAsia"/>
          <w:b w:val="0"/>
          <w:bCs w:val="0"/>
          <w:color w:val="auto"/>
          <w:sz w:val="24"/>
          <w:shd w:val="clear" w:color="auto" w:fill="FFFFFF"/>
        </w:rPr>
        <w:t> </w:t>
      </w:r>
      <w:r>
        <w:rPr>
          <w:rStyle w:val="17"/>
          <w:rFonts w:hint="eastAsia" w:asciiTheme="minorEastAsia" w:hAnsiTheme="minorEastAsia" w:cstheme="minorEastAsia"/>
          <w:b w:val="0"/>
          <w:bCs w:val="0"/>
          <w:color w:val="auto"/>
          <w:sz w:val="24"/>
          <w:shd w:val="clear" w:color="auto" w:fill="FFFFFF"/>
        </w:rPr>
        <w:t>因新冠疫情防控需要，本次采购，接受寄达的方式</w:t>
      </w:r>
      <w:r>
        <w:rPr>
          <w:rStyle w:val="17"/>
          <w:rFonts w:hint="eastAsia" w:asciiTheme="minorEastAsia" w:hAnsiTheme="minorEastAsia" w:cstheme="minorEastAsia"/>
          <w:b w:val="0"/>
          <w:bCs w:val="0"/>
          <w:color w:val="auto"/>
          <w:sz w:val="24"/>
          <w:szCs w:val="22"/>
          <w:shd w:val="clear" w:color="auto" w:fill="FFFFFF"/>
        </w:rPr>
        <w:t>，寄出后须与采购人联系查证是否接收；如供应商代表到现场递交响应文件</w:t>
      </w:r>
      <w:r>
        <w:rPr>
          <w:rStyle w:val="17"/>
          <w:rFonts w:hint="eastAsia" w:asciiTheme="minorEastAsia" w:hAnsiTheme="minorEastAsia" w:cstheme="minorEastAsia"/>
          <w:b w:val="0"/>
          <w:bCs w:val="0"/>
          <w:color w:val="auto"/>
          <w:sz w:val="24"/>
          <w:shd w:val="clear" w:color="auto" w:fill="FFFFFF"/>
        </w:rPr>
        <w:t>，</w:t>
      </w:r>
      <w:r>
        <w:rPr>
          <w:rStyle w:val="17"/>
          <w:rFonts w:hint="eastAsia" w:asciiTheme="minorEastAsia" w:hAnsiTheme="minorEastAsia" w:cstheme="minorEastAsia"/>
          <w:b w:val="0"/>
          <w:bCs w:val="0"/>
          <w:color w:val="auto"/>
          <w:sz w:val="24"/>
          <w:szCs w:val="22"/>
          <w:shd w:val="clear" w:color="auto" w:fill="FFFFFF"/>
        </w:rPr>
        <w:t>需提供绿色健康码、24小时内核酸检查阴性结果、行程码等证明，否则采购人不予接待，所造成的一切后果由供应商全部承担。</w:t>
      </w:r>
      <w:bookmarkStart w:id="1" w:name="_GoBack"/>
      <w:bookmarkEnd w:id="1"/>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rPr>
        <w:t>八、联系方式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 xml:space="preserve">联系人：罗老师 </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联系电话：028-26346672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九、</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72"/>
        <w:gridCol w:w="178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568"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04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lang w:val="zh-CN"/>
              </w:rPr>
            </w:pP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568" w:type="pct"/>
            <w:vAlign w:val="center"/>
          </w:tcPr>
          <w:p>
            <w:pPr>
              <w:spacing w:line="360" w:lineRule="auto"/>
              <w:jc w:val="center"/>
              <w:rPr>
                <w:rFonts w:cs="宋体-18030" w:asciiTheme="minorEastAsia" w:hAnsiTheme="minorEastAsia"/>
                <w:kern w:val="0"/>
                <w:sz w:val="24"/>
                <w:lang w:val="zh-CN"/>
              </w:rPr>
            </w:pPr>
          </w:p>
        </w:tc>
        <w:tc>
          <w:tcPr>
            <w:tcW w:w="1045" w:type="pct"/>
            <w:vAlign w:val="center"/>
          </w:tcPr>
          <w:p>
            <w:pPr>
              <w:spacing w:line="360" w:lineRule="auto"/>
              <w:jc w:val="center"/>
              <w:rPr>
                <w:rFonts w:cs="宋体-18030" w:asciiTheme="minorEastAsia" w:hAnsiTheme="minorEastAsia"/>
                <w:kern w:val="0"/>
                <w:sz w:val="24"/>
                <w:lang w:val="zh-CN"/>
              </w:rPr>
            </w:pPr>
          </w:p>
        </w:tc>
        <w:tc>
          <w:tcPr>
            <w:tcW w:w="1157" w:type="pct"/>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签订时间：2022年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7"/>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1.每批次货物到达交货地点验收合格后30个工作日内转账支付相应批次100%的货款（如产品出现质量问题则支付期相应顺延）；</w:t>
      </w:r>
    </w:p>
    <w:p>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dmMDMwNGEwOGYzYzJlZmQ0YTBhZWRjYTA0YzIxNzU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B7625FD"/>
    <w:rsid w:val="151B3CF1"/>
    <w:rsid w:val="156C442B"/>
    <w:rsid w:val="164A3328"/>
    <w:rsid w:val="18934843"/>
    <w:rsid w:val="1CE86C7E"/>
    <w:rsid w:val="1F281065"/>
    <w:rsid w:val="2A3D587C"/>
    <w:rsid w:val="342C36FD"/>
    <w:rsid w:val="361D455A"/>
    <w:rsid w:val="3C9E34DC"/>
    <w:rsid w:val="3FF0557C"/>
    <w:rsid w:val="4244401A"/>
    <w:rsid w:val="4E023FB5"/>
    <w:rsid w:val="505676E2"/>
    <w:rsid w:val="50863A39"/>
    <w:rsid w:val="555B6681"/>
    <w:rsid w:val="58CA6D6C"/>
    <w:rsid w:val="590F06B1"/>
    <w:rsid w:val="62705B39"/>
    <w:rsid w:val="6639773D"/>
    <w:rsid w:val="66F0488D"/>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unhideWhenUsed/>
    <w:qFormat/>
    <w:uiPriority w:val="99"/>
    <w:pPr>
      <w:ind w:firstLine="420" w:firstLineChars="100"/>
    </w:pPr>
  </w:style>
  <w:style w:type="paragraph" w:styleId="3">
    <w:name w:val="Body Text"/>
    <w:basedOn w:val="1"/>
    <w:next w:val="4"/>
    <w:link w:val="2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7">
    <w:name w:val="Normal Indent"/>
    <w:basedOn w:val="1"/>
    <w:link w:val="21"/>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semiHidden/>
    <w:unhideWhenUsed/>
    <w:qFormat/>
    <w:uiPriority w:val="99"/>
    <w:pPr>
      <w:jc w:val="left"/>
    </w:p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0"/>
    <w:semiHidden/>
    <w:unhideWhenUsed/>
    <w:qFormat/>
    <w:uiPriority w:val="99"/>
    <w:rPr>
      <w:sz w:val="18"/>
      <w:szCs w:val="18"/>
    </w:rPr>
  </w:style>
  <w:style w:type="paragraph" w:styleId="11">
    <w:name w:val="footer"/>
    <w:basedOn w:val="1"/>
    <w:link w:val="31"/>
    <w:semiHidden/>
    <w:unhideWhenUsed/>
    <w:qFormat/>
    <w:uiPriority w:val="99"/>
    <w:pPr>
      <w:tabs>
        <w:tab w:val="center" w:pos="4153"/>
        <w:tab w:val="right" w:pos="8306"/>
      </w:tabs>
      <w:snapToGrid w:val="0"/>
      <w:jc w:val="left"/>
    </w:pPr>
    <w:rPr>
      <w:sz w:val="18"/>
      <w:szCs w:val="18"/>
    </w:rPr>
  </w:style>
  <w:style w:type="paragraph" w:styleId="12">
    <w:name w:val="header"/>
    <w:basedOn w:val="1"/>
    <w:link w:val="30"/>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link w:val="22"/>
    <w:qFormat/>
    <w:uiPriority w:val="0"/>
    <w:pPr>
      <w:ind w:firstLine="420" w:firstLineChars="200"/>
    </w:pPr>
  </w:style>
  <w:style w:type="character" w:customStyle="1" w:styleId="20">
    <w:name w:val="批注框文本 Char"/>
    <w:basedOn w:val="16"/>
    <w:link w:val="10"/>
    <w:semiHidden/>
    <w:qFormat/>
    <w:uiPriority w:val="99"/>
    <w:rPr>
      <w:sz w:val="18"/>
      <w:szCs w:val="18"/>
    </w:rPr>
  </w:style>
  <w:style w:type="character" w:customStyle="1" w:styleId="21">
    <w:name w:val="正文缩进 Char"/>
    <w:link w:val="7"/>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qFormat/>
    <w:locked/>
    <w:uiPriority w:val="99"/>
    <w:rPr>
      <w:szCs w:val="24"/>
    </w:rPr>
  </w:style>
  <w:style w:type="character" w:customStyle="1" w:styleId="25">
    <w:name w:val="正文文本 Char1"/>
    <w:basedOn w:val="16"/>
    <w:semiHidden/>
    <w:qFormat/>
    <w:uiPriority w:val="99"/>
  </w:style>
  <w:style w:type="character" w:customStyle="1" w:styleId="26">
    <w:name w:val="批注文字 Char"/>
    <w:basedOn w:val="16"/>
    <w:link w:val="8"/>
    <w:semiHidden/>
    <w:qFormat/>
    <w:uiPriority w:val="99"/>
  </w:style>
  <w:style w:type="character" w:customStyle="1" w:styleId="27">
    <w:name w:val="批注主题 Char"/>
    <w:basedOn w:val="26"/>
    <w:link w:val="13"/>
    <w:semiHidden/>
    <w:qFormat/>
    <w:uiPriority w:val="99"/>
    <w:rPr>
      <w:b/>
      <w:bCs/>
    </w:rPr>
  </w:style>
  <w:style w:type="character" w:customStyle="1" w:styleId="28">
    <w:name w:val="正文首行缩进 Char"/>
    <w:link w:val="2"/>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6"/>
    <w:link w:val="12"/>
    <w:semiHidden/>
    <w:uiPriority w:val="99"/>
    <w:rPr>
      <w:rFonts w:asciiTheme="minorHAnsi" w:hAnsiTheme="minorHAnsi" w:eastAsiaTheme="minorEastAsia" w:cstheme="minorBidi"/>
      <w:kern w:val="2"/>
      <w:sz w:val="18"/>
      <w:szCs w:val="18"/>
    </w:rPr>
  </w:style>
  <w:style w:type="character" w:customStyle="1" w:styleId="31">
    <w:name w:val="页脚 Char"/>
    <w:basedOn w:val="16"/>
    <w:link w:val="11"/>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4</TotalTime>
  <ScaleCrop>false</ScaleCrop>
  <LinksUpToDate>false</LinksUpToDate>
  <CharactersWithSpaces>7012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2022-09-19T01:35:02Z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D2CD5679B1544A6680DEB91BF83B5D97</vt:lpwstr>
  </property>
</Properties>
</file>